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C39E5" w:rsidRPr="007200A7" w:rsidP="00B23C16">
      <w:pPr>
        <w:pStyle w:val="Heading1"/>
        <w:spacing w:before="0" w:after="120" w:line="276" w:lineRule="auto"/>
        <w:rPr>
          <w:rFonts w:ascii="Verdana" w:hAnsi="Verdana"/>
          <w:b w:val="0"/>
          <w:color w:val="183850" w:themeColor="text1"/>
          <w:sz w:val="34"/>
          <w:szCs w:val="34"/>
        </w:rPr>
      </w:pPr>
      <w:r w:rsidRPr="007200A7">
        <w:rPr>
          <w:rFonts w:ascii="Verdana" w:hAnsi="Verdana"/>
          <w:b w:val="0"/>
          <w:color w:val="183850" w:themeColor="text1"/>
          <w:sz w:val="34"/>
          <w:szCs w:val="34"/>
        </w:rPr>
        <w:t>LOCAL PEN</w:t>
      </w:r>
      <w:r w:rsidRPr="007200A7">
        <w:rPr>
          <w:rFonts w:ascii="Verdana" w:hAnsi="Verdana"/>
          <w:b w:val="0"/>
          <w:color w:val="183850" w:themeColor="text1"/>
          <w:sz w:val="34"/>
          <w:szCs w:val="34"/>
        </w:rPr>
        <w:t>SIONS PARTNERSHIP INVESTMENTS LIMITED</w:t>
      </w:r>
    </w:p>
    <w:tbl>
      <w:tblPr>
        <w:tblStyle w:val="TableGrid"/>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tblPr>
      <w:tblGrid>
        <w:gridCol w:w="5353"/>
        <w:gridCol w:w="4428"/>
      </w:tblGrid>
      <w:tr w:rsidTr="00506F9B">
        <w:tblPrEx>
          <w:tblW w:w="9781"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tblPrEx>
        <w:tc>
          <w:tcPr>
            <w:tcW w:w="5353" w:type="dxa"/>
          </w:tcPr>
          <w:p w:rsidR="00197BA3" w:rsidRPr="007200A7" w:rsidP="00506F9B">
            <w:pPr>
              <w:rPr>
                <w:rFonts w:ascii="Verdana" w:hAnsi="Verdana"/>
                <w:b/>
                <w:bCs/>
                <w:iCs/>
                <w:color w:val="183850" w:themeColor="text1"/>
                <w:sz w:val="28"/>
              </w:rPr>
            </w:pPr>
            <w:r w:rsidRPr="007200A7">
              <w:rPr>
                <w:rFonts w:ascii="Verdana" w:hAnsi="Verdana"/>
                <w:b/>
                <w:bCs/>
                <w:iCs/>
                <w:color w:val="183850" w:themeColor="text1"/>
                <w:sz w:val="28"/>
              </w:rPr>
              <w:t>Lancashire County Pension Fund</w:t>
            </w:r>
          </w:p>
        </w:tc>
        <w:tc>
          <w:tcPr>
            <w:tcW w:w="4428" w:type="dxa"/>
          </w:tcPr>
          <w:p w:rsidR="00197BA3" w:rsidRPr="007200A7" w:rsidP="00506F9B">
            <w:pPr>
              <w:rPr>
                <w:rFonts w:ascii="Verdana" w:hAnsi="Verdana"/>
                <w:b/>
                <w:bCs/>
                <w:iCs/>
                <w:color w:val="183850" w:themeColor="text1"/>
                <w:sz w:val="28"/>
              </w:rPr>
            </w:pPr>
          </w:p>
        </w:tc>
      </w:tr>
      <w:tr w:rsidTr="00506F9B">
        <w:tblPrEx>
          <w:tblW w:w="9781" w:type="dxa"/>
          <w:tblLook w:val="04A0"/>
        </w:tblPrEx>
        <w:tc>
          <w:tcPr>
            <w:tcW w:w="9781" w:type="dxa"/>
            <w:gridSpan w:val="2"/>
          </w:tcPr>
          <w:p w:rsidR="00197BA3" w:rsidRPr="007200A7" w:rsidP="00506F9B">
            <w:pPr>
              <w:rPr>
                <w:rFonts w:ascii="Verdana" w:hAnsi="Verdana"/>
                <w:b/>
                <w:bCs/>
                <w:iCs/>
                <w:color w:val="183850" w:themeColor="text1"/>
                <w:sz w:val="24"/>
              </w:rPr>
            </w:pPr>
          </w:p>
        </w:tc>
      </w:tr>
      <w:tr w:rsidTr="00506F9B">
        <w:tblPrEx>
          <w:tblW w:w="9781" w:type="dxa"/>
          <w:tblLook w:val="04A0"/>
        </w:tblPrEx>
        <w:tc>
          <w:tcPr>
            <w:tcW w:w="5353" w:type="dxa"/>
          </w:tcPr>
          <w:p w:rsidR="00197BA3" w:rsidRPr="007200A7" w:rsidP="00506F9B">
            <w:pPr>
              <w:rPr>
                <w:rFonts w:ascii="Verdana" w:hAnsi="Verdana"/>
                <w:b/>
                <w:bCs/>
                <w:iCs/>
                <w:color w:val="183850" w:themeColor="text1"/>
                <w:sz w:val="28"/>
              </w:rPr>
            </w:pPr>
            <w:r w:rsidRPr="007200A7">
              <w:rPr>
                <w:rFonts w:ascii="Verdana" w:hAnsi="Verdana"/>
                <w:b/>
                <w:bCs/>
                <w:iCs/>
                <w:color w:val="183850" w:themeColor="text1"/>
                <w:sz w:val="28"/>
              </w:rPr>
              <w:t>Pension Fund Committee</w:t>
            </w:r>
          </w:p>
        </w:tc>
        <w:tc>
          <w:tcPr>
            <w:tcW w:w="4428" w:type="dxa"/>
          </w:tcPr>
          <w:p w:rsidR="00197BA3" w:rsidRPr="007200A7" w:rsidP="003A059C">
            <w:pPr>
              <w:tabs>
                <w:tab w:val="left" w:pos="2830"/>
                <w:tab w:val="right" w:pos="4212"/>
              </w:tabs>
              <w:jc w:val="right"/>
              <w:rPr>
                <w:rFonts w:ascii="Verdana" w:hAnsi="Verdana"/>
                <w:b/>
                <w:bCs/>
                <w:iCs/>
                <w:color w:val="183850" w:themeColor="text1"/>
                <w:sz w:val="24"/>
              </w:rPr>
            </w:pPr>
            <w:r>
              <w:rPr>
                <w:rFonts w:ascii="Verdana" w:hAnsi="Verdana"/>
                <w:b/>
                <w:bCs/>
                <w:iCs/>
                <w:color w:val="183850" w:themeColor="text1"/>
                <w:sz w:val="24"/>
              </w:rPr>
              <w:t>23 March 2018</w:t>
            </w:r>
          </w:p>
        </w:tc>
      </w:tr>
      <w:tr w:rsidTr="00506F9B">
        <w:tblPrEx>
          <w:tblW w:w="9781" w:type="dxa"/>
          <w:tblLook w:val="04A0"/>
        </w:tblPrEx>
        <w:tc>
          <w:tcPr>
            <w:tcW w:w="5353" w:type="dxa"/>
          </w:tcPr>
          <w:p w:rsidR="00197BA3" w:rsidRPr="00486A11" w:rsidP="00506F9B">
            <w:pPr>
              <w:rPr>
                <w:rFonts w:ascii="Verdana" w:hAnsi="Verdana"/>
                <w:b/>
                <w:bCs/>
                <w:iCs/>
                <w:color w:val="183850" w:themeColor="text1"/>
                <w:sz w:val="28"/>
                <w:szCs w:val="28"/>
              </w:rPr>
            </w:pPr>
            <w:r w:rsidRPr="00486A11">
              <w:rPr>
                <w:rFonts w:ascii="Verdana" w:hAnsi="Verdana"/>
                <w:b/>
                <w:bCs/>
                <w:iCs/>
                <w:color w:val="183850" w:themeColor="text1"/>
                <w:sz w:val="28"/>
                <w:szCs w:val="28"/>
              </w:rPr>
              <w:t>Responsible Investment Report</w:t>
            </w:r>
          </w:p>
        </w:tc>
        <w:tc>
          <w:tcPr>
            <w:tcW w:w="4428" w:type="dxa"/>
          </w:tcPr>
          <w:p w:rsidR="00197BA3" w:rsidRPr="007200A7" w:rsidP="00486A11">
            <w:pPr>
              <w:jc w:val="right"/>
              <w:rPr>
                <w:rFonts w:ascii="Verdana" w:hAnsi="Verdana"/>
                <w:b/>
                <w:bCs/>
                <w:iCs/>
                <w:color w:val="183850" w:themeColor="text1"/>
                <w:sz w:val="24"/>
                <w:szCs w:val="24"/>
              </w:rPr>
            </w:pPr>
          </w:p>
        </w:tc>
      </w:tr>
    </w:tbl>
    <w:p w:rsidR="00197BA3" w:rsidRPr="007200A7" w:rsidP="00197BA3">
      <w:pPr>
        <w:rPr>
          <w:rFonts w:ascii="Verdana" w:hAnsi="Verdana"/>
          <w:bCs/>
          <w:iCs/>
          <w:color w:val="183850" w:themeColor="text1"/>
        </w:rPr>
      </w:pPr>
      <w:r w:rsidRPr="007200A7">
        <w:rPr>
          <w:rFonts w:ascii="Verdana" w:hAnsi="Verdana"/>
          <w:bCs/>
          <w:iCs/>
          <w:color w:val="183850" w:themeColor="text1"/>
        </w:rPr>
        <w:tab/>
      </w:r>
      <w:r w:rsidRPr="007200A7">
        <w:rPr>
          <w:rFonts w:ascii="Verdana" w:hAnsi="Verdana"/>
          <w:bCs/>
          <w:iCs/>
          <w:color w:val="183850" w:themeColor="text1"/>
        </w:rPr>
        <w:tab/>
      </w:r>
      <w:r w:rsidRPr="007200A7">
        <w:rPr>
          <w:rFonts w:ascii="Verdana" w:hAnsi="Verdana"/>
          <w:bCs/>
          <w:iCs/>
          <w:color w:val="183850" w:themeColor="text1"/>
        </w:rPr>
        <w:tab/>
        <w:t xml:space="preserve"> </w:t>
      </w:r>
      <w:r w:rsidRPr="007200A7">
        <w:rPr>
          <w:rFonts w:ascii="Verdana" w:hAnsi="Verdana"/>
          <w:bCs/>
          <w:iCs/>
          <w:color w:val="183850" w:themeColor="text1"/>
        </w:rPr>
        <w:tab/>
      </w:r>
      <w:r w:rsidRPr="007200A7">
        <w:rPr>
          <w:rFonts w:ascii="Verdana" w:hAnsi="Verdana"/>
          <w:bCs/>
          <w:iCs/>
          <w:color w:val="183850" w:themeColor="text1"/>
        </w:rPr>
        <w:tab/>
      </w:r>
    </w:p>
    <w:tbl>
      <w:tblPr>
        <w:tblStyle w:val="TableGrid"/>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2523"/>
        <w:gridCol w:w="7229"/>
      </w:tblGrid>
      <w:tr w:rsidTr="00506F9B">
        <w:tblPrEx>
          <w:tblW w:w="975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Ex>
        <w:trPr>
          <w:trHeight w:val="461"/>
        </w:trPr>
        <w:tc>
          <w:tcPr>
            <w:tcW w:w="2523" w:type="dxa"/>
            <w:shd w:val="clear" w:color="auto" w:fill="F2F2F2" w:themeFill="background1" w:themeFillShade="F2"/>
          </w:tcPr>
          <w:p w:rsidR="00197BA3" w:rsidRPr="007200A7"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Title of Paper</w:t>
            </w:r>
          </w:p>
        </w:tc>
        <w:tc>
          <w:tcPr>
            <w:tcW w:w="7229" w:type="dxa"/>
          </w:tcPr>
          <w:p w:rsidR="00197BA3" w:rsidRPr="007200A7" w:rsidP="00506F9B">
            <w:pPr>
              <w:rPr>
                <w:rFonts w:ascii="Verdana" w:hAnsi="Verdana"/>
                <w:bCs/>
                <w:iCs/>
                <w:color w:val="183850" w:themeColor="text1"/>
                <w:sz w:val="20"/>
                <w:szCs w:val="20"/>
              </w:rPr>
            </w:pPr>
            <w:r w:rsidRPr="007200A7">
              <w:rPr>
                <w:rFonts w:ascii="Verdana" w:hAnsi="Verdana"/>
                <w:bCs/>
                <w:iCs/>
                <w:color w:val="183850" w:themeColor="text1"/>
                <w:sz w:val="20"/>
                <w:szCs w:val="20"/>
              </w:rPr>
              <w:t>Quarterly Report on Responsible Investment</w:t>
            </w:r>
            <w:r>
              <w:rPr>
                <w:rFonts w:ascii="Verdana" w:hAnsi="Verdana"/>
                <w:bCs/>
                <w:iCs/>
                <w:color w:val="183850" w:themeColor="text1"/>
                <w:sz w:val="20"/>
                <w:szCs w:val="20"/>
              </w:rPr>
              <w:t xml:space="preserve"> (2017 Q4</w:t>
            </w:r>
            <w:r>
              <w:rPr>
                <w:rFonts w:ascii="Verdana" w:hAnsi="Verdana"/>
                <w:bCs/>
                <w:iCs/>
                <w:color w:val="183850" w:themeColor="text1"/>
                <w:sz w:val="20"/>
                <w:szCs w:val="20"/>
              </w:rPr>
              <w:t>)</w:t>
            </w:r>
          </w:p>
        </w:tc>
      </w:tr>
      <w:tr w:rsidTr="00506F9B">
        <w:tblPrEx>
          <w:tblW w:w="9752" w:type="dxa"/>
          <w:tblInd w:w="-5" w:type="dxa"/>
          <w:tblLayout w:type="fixed"/>
          <w:tblLook w:val="04A0"/>
        </w:tblPrEx>
        <w:trPr>
          <w:trHeight w:val="632"/>
        </w:trPr>
        <w:tc>
          <w:tcPr>
            <w:tcW w:w="2523" w:type="dxa"/>
            <w:shd w:val="clear" w:color="auto" w:fill="F2F2F2" w:themeFill="background1" w:themeFillShade="F2"/>
          </w:tcPr>
          <w:p w:rsidR="00197BA3" w:rsidRPr="007200A7" w:rsidP="00506F9B">
            <w:pPr>
              <w:rPr>
                <w:rFonts w:ascii="Verdana" w:hAnsi="Verdana"/>
                <w:b/>
                <w:bCs/>
                <w:iCs/>
                <w:color w:val="183850" w:themeColor="text1"/>
                <w:sz w:val="20"/>
                <w:szCs w:val="20"/>
              </w:rPr>
            </w:pPr>
            <w:r w:rsidRPr="007200A7">
              <w:rPr>
                <w:rFonts w:ascii="Verdana" w:hAnsi="Verdana"/>
                <w:b/>
                <w:bCs/>
                <w:iCs/>
                <w:color w:val="183850" w:themeColor="text1"/>
                <w:sz w:val="20"/>
                <w:szCs w:val="20"/>
              </w:rPr>
              <w:t>Lead Officer:</w:t>
            </w:r>
          </w:p>
        </w:tc>
        <w:tc>
          <w:tcPr>
            <w:tcW w:w="7229" w:type="dxa"/>
          </w:tcPr>
          <w:p w:rsidR="00197BA3" w:rsidRPr="007200A7"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Frances Deakin </w:t>
            </w:r>
          </w:p>
          <w:p w:rsidR="00197BA3" w:rsidRPr="007200A7"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Responsible Investment </w:t>
            </w:r>
            <w:r w:rsidRPr="007200A7">
              <w:rPr>
                <w:rFonts w:ascii="Verdana" w:hAnsi="Verdana"/>
                <w:bCs/>
                <w:iCs/>
                <w:color w:val="183850" w:themeColor="text1"/>
                <w:sz w:val="20"/>
                <w:szCs w:val="20"/>
              </w:rPr>
              <w:t>Manager</w:t>
            </w:r>
          </w:p>
          <w:p w:rsidR="00197BA3" w:rsidRPr="007200A7" w:rsidP="00506F9B">
            <w:pPr>
              <w:rPr>
                <w:rFonts w:ascii="Verdana" w:hAnsi="Verdana"/>
                <w:bCs/>
                <w:iCs/>
                <w:color w:val="183850" w:themeColor="text1"/>
                <w:sz w:val="20"/>
                <w:szCs w:val="20"/>
              </w:rPr>
            </w:pPr>
            <w:r w:rsidRPr="007200A7">
              <w:rPr>
                <w:rFonts w:ascii="Verdana" w:hAnsi="Verdana"/>
                <w:bCs/>
                <w:iCs/>
                <w:color w:val="183850" w:themeColor="text1"/>
                <w:sz w:val="20"/>
                <w:szCs w:val="20"/>
              </w:rPr>
              <w:t xml:space="preserve">Local Pensions Partnership Investments Ltd </w:t>
            </w:r>
          </w:p>
          <w:p w:rsidR="00197BA3" w:rsidRPr="007200A7" w:rsidP="00506F9B">
            <w:pPr>
              <w:rPr>
                <w:rFonts w:ascii="Verdana" w:hAnsi="Verdana"/>
                <w:bCs/>
                <w:iCs/>
                <w:color w:val="183850" w:themeColor="text1"/>
                <w:sz w:val="20"/>
                <w:szCs w:val="20"/>
              </w:rPr>
            </w:pPr>
            <w:r>
              <w:fldChar w:fldCharType="begin"/>
            </w:r>
            <w:r>
              <w:instrText xml:space="preserve"> HYPERLINK "mailto:frances.deakin@localpensionspartnership.org.uk" </w:instrText>
            </w:r>
            <w:r>
              <w:fldChar w:fldCharType="separate"/>
            </w:r>
            <w:r w:rsidRPr="007200A7">
              <w:rPr>
                <w:rStyle w:val="Hyperlink"/>
                <w:rFonts w:ascii="Verdana" w:hAnsi="Verdana"/>
                <w:bCs/>
                <w:iCs/>
                <w:color w:val="183850" w:themeColor="text1"/>
                <w:sz w:val="20"/>
                <w:szCs w:val="20"/>
              </w:rPr>
              <w:t>frances.deakin@localpensionspartnership.org.uk</w:t>
            </w:r>
            <w:r>
              <w:fldChar w:fldCharType="end"/>
            </w:r>
          </w:p>
          <w:p w:rsidR="00197BA3" w:rsidRPr="007200A7" w:rsidP="00506F9B">
            <w:pPr>
              <w:rPr>
                <w:rFonts w:ascii="Verdana" w:hAnsi="Verdana"/>
                <w:bCs/>
                <w:iCs/>
                <w:color w:val="183850" w:themeColor="text1"/>
                <w:sz w:val="20"/>
                <w:szCs w:val="20"/>
              </w:rPr>
            </w:pPr>
          </w:p>
        </w:tc>
      </w:tr>
      <w:tr w:rsidTr="00506F9B">
        <w:tblPrEx>
          <w:tblW w:w="9752" w:type="dxa"/>
          <w:tblInd w:w="-5" w:type="dxa"/>
          <w:tblLayout w:type="fixed"/>
          <w:tblLook w:val="04A0"/>
        </w:tblPrEx>
        <w:trPr>
          <w:trHeight w:val="456"/>
        </w:trPr>
        <w:tc>
          <w:tcPr>
            <w:tcW w:w="2523" w:type="dxa"/>
            <w:shd w:val="clear" w:color="auto" w:fill="F2F2F2" w:themeFill="background1" w:themeFillShade="F2"/>
          </w:tcPr>
          <w:p w:rsidR="00197BA3" w:rsidRPr="00610859" w:rsidP="00506F9B">
            <w:pPr>
              <w:rPr>
                <w:rFonts w:ascii="Verdana" w:hAnsi="Verdana"/>
                <w:b/>
                <w:bCs/>
                <w:iCs/>
                <w:color w:val="183850" w:themeColor="text1"/>
                <w:sz w:val="20"/>
                <w:szCs w:val="20"/>
              </w:rPr>
            </w:pPr>
            <w:r w:rsidRPr="00610859">
              <w:rPr>
                <w:rFonts w:ascii="Verdana" w:hAnsi="Verdana"/>
                <w:b/>
                <w:bCs/>
                <w:iCs/>
                <w:color w:val="183850" w:themeColor="text1"/>
                <w:sz w:val="20"/>
                <w:szCs w:val="20"/>
              </w:rPr>
              <w:t xml:space="preserve">Appendices </w:t>
            </w:r>
          </w:p>
        </w:tc>
        <w:tc>
          <w:tcPr>
            <w:tcW w:w="7229" w:type="dxa"/>
          </w:tcPr>
          <w:p w:rsidR="00497FA5" w:rsidRPr="00692968" w:rsidP="008B3A19">
            <w:pPr>
              <w:ind w:left="1338" w:hanging="1338"/>
              <w:rPr>
                <w:rFonts w:ascii="Verdana" w:hAnsi="Verdana"/>
                <w:bCs/>
                <w:sz w:val="20"/>
                <w:szCs w:val="20"/>
              </w:rPr>
            </w:pPr>
            <w:r>
              <w:rPr>
                <w:rFonts w:ascii="Verdana" w:hAnsi="Verdana" w:cs="Arial"/>
                <w:bCs/>
                <w:color w:val="183850" w:themeColor="text1"/>
                <w:sz w:val="20"/>
                <w:szCs w:val="20"/>
              </w:rPr>
              <w:t>Appendix A1</w:t>
            </w:r>
            <w:r>
              <w:rPr>
                <w:rFonts w:ascii="Verdana" w:hAnsi="Verdana" w:cs="Arial"/>
                <w:bCs/>
                <w:color w:val="183850" w:themeColor="text1"/>
                <w:sz w:val="20"/>
                <w:szCs w:val="20"/>
              </w:rPr>
              <w:t xml:space="preserve"> - </w:t>
            </w:r>
            <w:r>
              <w:rPr>
                <w:rFonts w:ascii="Verdana" w:hAnsi="Verdana"/>
                <w:bCs/>
                <w:sz w:val="20"/>
                <w:szCs w:val="20"/>
              </w:rPr>
              <w:t>LAPFF's Q4</w:t>
            </w:r>
            <w:r w:rsidRPr="0054100C">
              <w:rPr>
                <w:rFonts w:ascii="Verdana" w:hAnsi="Verdana"/>
                <w:bCs/>
                <w:sz w:val="20"/>
                <w:szCs w:val="20"/>
              </w:rPr>
              <w:t xml:space="preserve"> 2017 Engagement Report</w:t>
            </w:r>
          </w:p>
          <w:p w:rsidR="00497FA5" w:rsidP="00497FA5">
            <w:pPr>
              <w:ind w:left="1338" w:hanging="1338"/>
              <w:rPr>
                <w:rFonts w:ascii="Verdana" w:hAnsi="Verdana" w:cs="Arial"/>
                <w:bCs/>
                <w:color w:val="183850" w:themeColor="text1"/>
                <w:sz w:val="20"/>
                <w:szCs w:val="20"/>
              </w:rPr>
            </w:pPr>
          </w:p>
          <w:p w:rsidR="00A8013C" w:rsidRPr="00610859" w:rsidP="008B3A19">
            <w:pPr>
              <w:ind w:left="1338" w:hanging="1338"/>
              <w:rPr>
                <w:rFonts w:ascii="Verdana" w:hAnsi="Verdana"/>
                <w:b/>
                <w:bCs/>
                <w:iCs/>
                <w:color w:val="183850" w:themeColor="text1"/>
                <w:sz w:val="20"/>
                <w:szCs w:val="20"/>
              </w:rPr>
            </w:pPr>
          </w:p>
        </w:tc>
      </w:tr>
    </w:tbl>
    <w:p w:rsidR="00B23C16" w:rsidRPr="007200A7" w:rsidP="00320885">
      <w:pPr>
        <w:spacing w:after="0" w:line="240" w:lineRule="auto"/>
        <w:rPr>
          <w:rFonts w:ascii="Verdana" w:hAnsi="Verdana" w:cs="Arial"/>
          <w:b/>
          <w:bCs/>
          <w:color w:val="183850" w:themeColor="text1"/>
          <w:sz w:val="20"/>
          <w:szCs w:val="20"/>
        </w:rPr>
      </w:pPr>
    </w:p>
    <w:p w:rsidR="00E04E31"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Executive Summary</w:t>
      </w:r>
    </w:p>
    <w:p w:rsidR="00197BA3" w:rsidRPr="007200A7" w:rsidP="003B4083">
      <w:pPr>
        <w:pStyle w:val="treb"/>
        <w:numPr>
          <w:ilvl w:val="0"/>
          <w:numId w:val="0"/>
        </w:numPr>
        <w:spacing w:after="0"/>
        <w:rPr>
          <w:rFonts w:ascii="Verdana" w:hAnsi="Verdana"/>
          <w:b w:val="0"/>
          <w:color w:val="183850" w:themeColor="text1"/>
          <w:sz w:val="20"/>
          <w:szCs w:val="20"/>
        </w:rPr>
      </w:pPr>
    </w:p>
    <w:p w:rsidR="00197BA3" w:rsidRPr="007200A7" w:rsidP="003B4083">
      <w:pPr>
        <w:pStyle w:val="treb"/>
        <w:numPr>
          <w:ilvl w:val="0"/>
          <w:numId w:val="0"/>
        </w:numPr>
        <w:spacing w:after="0"/>
        <w:rPr>
          <w:rFonts w:ascii="Verdana" w:hAnsi="Verdana"/>
          <w:b w:val="0"/>
          <w:color w:val="183850" w:themeColor="text1"/>
          <w:sz w:val="20"/>
          <w:szCs w:val="20"/>
        </w:rPr>
      </w:pPr>
      <w:r w:rsidRPr="007200A7">
        <w:rPr>
          <w:rFonts w:ascii="Verdana" w:hAnsi="Verdana"/>
          <w:b w:val="0"/>
          <w:color w:val="183850" w:themeColor="text1"/>
          <w:sz w:val="20"/>
          <w:szCs w:val="20"/>
        </w:rPr>
        <w:t>This report provides members of the Pension Fund Committee of Lancashire County Pension Fund (LCPF) with a quarterly update on Responsible Investment (RI) matters.</w:t>
      </w:r>
    </w:p>
    <w:p w:rsidR="00197BA3" w:rsidRPr="007200A7" w:rsidP="003B4083">
      <w:pPr>
        <w:pStyle w:val="treb"/>
        <w:numPr>
          <w:ilvl w:val="0"/>
          <w:numId w:val="0"/>
        </w:numPr>
        <w:spacing w:after="0"/>
        <w:rPr>
          <w:rFonts w:ascii="Verdana" w:hAnsi="Verdana"/>
          <w:b w:val="0"/>
          <w:color w:val="183850" w:themeColor="text1"/>
          <w:sz w:val="20"/>
          <w:szCs w:val="20"/>
        </w:rPr>
      </w:pPr>
    </w:p>
    <w:p w:rsidR="00320885" w:rsidRPr="008E62D7"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Introduction</w:t>
      </w:r>
    </w:p>
    <w:p w:rsidR="00197BA3" w:rsidRPr="007200A7" w:rsidP="003B4083">
      <w:pPr>
        <w:autoSpaceDE w:val="0"/>
        <w:autoSpaceDN w:val="0"/>
        <w:adjustRightInd w:val="0"/>
        <w:spacing w:after="0"/>
        <w:jc w:val="both"/>
        <w:rPr>
          <w:rFonts w:ascii="Verdana" w:hAnsi="Verdana"/>
          <w:color w:val="183850" w:themeColor="text1"/>
          <w:sz w:val="20"/>
          <w:szCs w:val="20"/>
        </w:rPr>
      </w:pPr>
    </w:p>
    <w:p w:rsidR="00197BA3" w:rsidRPr="00601570" w:rsidP="003B4083">
      <w:pPr>
        <w:autoSpaceDE w:val="0"/>
        <w:autoSpaceDN w:val="0"/>
        <w:adjustRightInd w:val="0"/>
        <w:spacing w:after="0"/>
        <w:jc w:val="both"/>
        <w:rPr>
          <w:rFonts w:ascii="Verdana" w:hAnsi="Verdana" w:cs="TT3B97o00"/>
          <w:color w:val="183850" w:themeColor="text1"/>
          <w:sz w:val="20"/>
          <w:szCs w:val="20"/>
        </w:rPr>
      </w:pPr>
      <w:r w:rsidRPr="007200A7">
        <w:rPr>
          <w:rFonts w:ascii="Verdana" w:hAnsi="Verdana"/>
          <w:color w:val="183850" w:themeColor="text1"/>
          <w:sz w:val="20"/>
          <w:szCs w:val="20"/>
        </w:rPr>
        <w:t xml:space="preserve">The Fund's approach to RI </w:t>
      </w:r>
      <w:r w:rsidRPr="007200A7">
        <w:rPr>
          <w:rFonts w:ascii="Verdana" w:hAnsi="Verdana"/>
          <w:color w:val="183850" w:themeColor="text1"/>
          <w:sz w:val="20"/>
          <w:szCs w:val="20"/>
        </w:rPr>
        <w:t xml:space="preserve">has been </w:t>
      </w:r>
      <w:r>
        <w:rPr>
          <w:rFonts w:ascii="Verdana" w:hAnsi="Verdana"/>
          <w:color w:val="183850" w:themeColor="text1"/>
          <w:sz w:val="20"/>
          <w:szCs w:val="20"/>
        </w:rPr>
        <w:t>articulated</w:t>
      </w:r>
      <w:r w:rsidRPr="007200A7">
        <w:rPr>
          <w:rFonts w:ascii="Verdana" w:hAnsi="Verdana"/>
          <w:color w:val="183850" w:themeColor="text1"/>
          <w:sz w:val="20"/>
          <w:szCs w:val="20"/>
        </w:rPr>
        <w:t xml:space="preserve"> </w:t>
      </w:r>
      <w:r w:rsidRPr="007200A7">
        <w:rPr>
          <w:rFonts w:ascii="Verdana" w:hAnsi="Verdana"/>
          <w:color w:val="183850" w:themeColor="text1"/>
          <w:sz w:val="20"/>
          <w:szCs w:val="20"/>
        </w:rPr>
        <w:t xml:space="preserve">within </w:t>
      </w:r>
      <w:r w:rsidRPr="007200A7">
        <w:rPr>
          <w:rFonts w:ascii="Verdana" w:hAnsi="Verdana"/>
          <w:color w:val="183850" w:themeColor="text1"/>
          <w:sz w:val="20"/>
          <w:szCs w:val="20"/>
        </w:rPr>
        <w:t>an</w:t>
      </w:r>
      <w:r w:rsidRPr="007200A7">
        <w:rPr>
          <w:rFonts w:ascii="Verdana" w:hAnsi="Verdana"/>
          <w:color w:val="183850" w:themeColor="text1"/>
          <w:sz w:val="20"/>
          <w:szCs w:val="20"/>
        </w:rPr>
        <w:t xml:space="preserve"> Investment </w:t>
      </w:r>
      <w:r w:rsidRPr="007200A7">
        <w:rPr>
          <w:rFonts w:ascii="Verdana" w:hAnsi="Verdana"/>
          <w:color w:val="183850" w:themeColor="text1"/>
          <w:sz w:val="20"/>
          <w:szCs w:val="20"/>
        </w:rPr>
        <w:t xml:space="preserve">Strategy Statement </w:t>
      </w:r>
      <w:r w:rsidRPr="007200A7">
        <w:rPr>
          <w:rFonts w:ascii="Verdana" w:hAnsi="Verdana"/>
          <w:color w:val="183850" w:themeColor="text1"/>
          <w:sz w:val="20"/>
          <w:szCs w:val="20"/>
        </w:rPr>
        <w:t>which</w:t>
      </w:r>
      <w:r w:rsidRPr="007200A7">
        <w:rPr>
          <w:rFonts w:ascii="Verdana" w:hAnsi="Verdana"/>
          <w:color w:val="183850" w:themeColor="text1"/>
          <w:sz w:val="20"/>
          <w:szCs w:val="20"/>
        </w:rPr>
        <w:t xml:space="preserve"> </w:t>
      </w:r>
      <w:r w:rsidRPr="007200A7">
        <w:rPr>
          <w:rFonts w:ascii="Verdana" w:hAnsi="Verdana"/>
          <w:color w:val="183850" w:themeColor="text1"/>
          <w:sz w:val="20"/>
          <w:szCs w:val="20"/>
        </w:rPr>
        <w:t xml:space="preserve">confirms that the objective of RI is to decrease investor risk, improve risk-adjusted returns and </w:t>
      </w:r>
      <w:r w:rsidRPr="007200A7">
        <w:rPr>
          <w:rFonts w:ascii="Verdana" w:hAnsi="Verdana" w:cs="TT3B97o00"/>
          <w:color w:val="183850" w:themeColor="text1"/>
          <w:sz w:val="20"/>
          <w:szCs w:val="20"/>
        </w:rPr>
        <w:t>assist</w:t>
      </w:r>
      <w:r w:rsidRPr="007200A7">
        <w:rPr>
          <w:rFonts w:ascii="Verdana" w:hAnsi="Verdana" w:cs="TT3B97o00"/>
          <w:color w:val="183850" w:themeColor="text1"/>
          <w:sz w:val="20"/>
          <w:szCs w:val="20"/>
        </w:rPr>
        <w:t xml:space="preserve"> the Fund</w:t>
      </w:r>
      <w:r w:rsidRPr="007200A7">
        <w:rPr>
          <w:rFonts w:ascii="Verdana" w:hAnsi="Verdana" w:cs="TT3B97o00"/>
          <w:color w:val="183850" w:themeColor="text1"/>
          <w:sz w:val="20"/>
          <w:szCs w:val="20"/>
        </w:rPr>
        <w:t xml:space="preserve">'s </w:t>
      </w:r>
      <w:r w:rsidRPr="007200A7">
        <w:rPr>
          <w:rFonts w:ascii="Verdana" w:hAnsi="Verdana" w:cs="TT3B97o00"/>
          <w:color w:val="183850" w:themeColor="text1"/>
          <w:sz w:val="20"/>
          <w:szCs w:val="20"/>
        </w:rPr>
        <w:t>adhere</w:t>
      </w:r>
      <w:r w:rsidRPr="007200A7">
        <w:rPr>
          <w:rFonts w:ascii="Verdana" w:hAnsi="Verdana" w:cs="TT3B97o00"/>
          <w:color w:val="183850" w:themeColor="text1"/>
          <w:sz w:val="20"/>
          <w:szCs w:val="20"/>
        </w:rPr>
        <w:t>nce</w:t>
      </w:r>
      <w:r w:rsidRPr="007200A7">
        <w:rPr>
          <w:rFonts w:ascii="Verdana" w:hAnsi="Verdana" w:cs="TT3B97o00"/>
          <w:color w:val="183850" w:themeColor="text1"/>
          <w:sz w:val="20"/>
          <w:szCs w:val="20"/>
        </w:rPr>
        <w:t xml:space="preserve"> to the UK Stewardship Code. </w:t>
      </w:r>
      <w:bookmarkStart w:id="0" w:name="_GoBack"/>
      <w:bookmarkEnd w:id="0"/>
      <w:r w:rsidRPr="007200A7">
        <w:rPr>
          <w:rFonts w:ascii="Verdana" w:hAnsi="Verdana" w:cs="TT3B97o00"/>
          <w:color w:val="183850" w:themeColor="text1"/>
          <w:sz w:val="20"/>
          <w:szCs w:val="20"/>
        </w:rPr>
        <w:t xml:space="preserve">The </w:t>
      </w:r>
      <w:r w:rsidRPr="007200A7">
        <w:rPr>
          <w:rFonts w:ascii="Verdana" w:hAnsi="Verdana" w:cs="TT3B97o00"/>
          <w:color w:val="183850" w:themeColor="text1"/>
          <w:sz w:val="20"/>
          <w:szCs w:val="20"/>
        </w:rPr>
        <w:t xml:space="preserve">Fund's </w:t>
      </w:r>
      <w:r>
        <w:rPr>
          <w:rFonts w:ascii="Verdana" w:hAnsi="Verdana" w:cs="TT3B97o00"/>
          <w:color w:val="183850" w:themeColor="text1"/>
          <w:sz w:val="20"/>
          <w:szCs w:val="20"/>
        </w:rPr>
        <w:t xml:space="preserve">preferred </w:t>
      </w:r>
      <w:r w:rsidRPr="007200A7">
        <w:rPr>
          <w:rFonts w:ascii="Verdana" w:hAnsi="Verdana" w:cs="TT3B97o00"/>
          <w:color w:val="183850" w:themeColor="text1"/>
          <w:sz w:val="20"/>
          <w:szCs w:val="20"/>
        </w:rPr>
        <w:t xml:space="preserve">approach </w:t>
      </w:r>
      <w:r w:rsidRPr="007200A7">
        <w:rPr>
          <w:rFonts w:ascii="Verdana" w:hAnsi="Verdana" w:cs="TT3B97o00"/>
          <w:color w:val="183850" w:themeColor="text1"/>
          <w:sz w:val="20"/>
          <w:szCs w:val="20"/>
        </w:rPr>
        <w:t xml:space="preserve">to RI </w:t>
      </w:r>
      <w:r w:rsidRPr="007200A7">
        <w:rPr>
          <w:rFonts w:ascii="Verdana" w:hAnsi="Verdana" w:cs="TT3B97o00"/>
          <w:color w:val="183850" w:themeColor="text1"/>
          <w:sz w:val="20"/>
          <w:szCs w:val="20"/>
        </w:rPr>
        <w:t>encompasses</w:t>
      </w:r>
      <w:r w:rsidRPr="007200A7">
        <w:rPr>
          <w:rFonts w:ascii="Verdana" w:hAnsi="Verdana" w:cs="TT3B97o00"/>
          <w:color w:val="183850" w:themeColor="text1"/>
          <w:sz w:val="20"/>
          <w:szCs w:val="20"/>
        </w:rPr>
        <w:t xml:space="preserve"> four main areas of activity:</w:t>
      </w:r>
    </w:p>
    <w:p w:rsidR="00197BA3" w:rsidRPr="007200A7"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Voting Globally</w:t>
      </w:r>
    </w:p>
    <w:p w:rsidR="00197BA3" w:rsidRPr="007200A7"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Engagement through Partnerships</w:t>
      </w:r>
    </w:p>
    <w:p w:rsidR="00197BA3" w:rsidRPr="007200A7"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Shareholder Litigation</w:t>
      </w:r>
    </w:p>
    <w:p w:rsidR="00197BA3" w:rsidRPr="007200A7" w:rsidP="003B4083">
      <w:pPr>
        <w:pStyle w:val="ListParagraph"/>
        <w:widowControl w:val="0"/>
        <w:numPr>
          <w:ilvl w:val="0"/>
          <w:numId w:val="6"/>
        </w:numPr>
        <w:tabs>
          <w:tab w:val="left" w:pos="426"/>
        </w:tabs>
        <w:autoSpaceDE w:val="0"/>
        <w:autoSpaceDN w:val="0"/>
        <w:adjustRightInd w:val="0"/>
        <w:spacing w:after="0" w:line="240" w:lineRule="auto"/>
        <w:ind w:left="0" w:firstLine="0"/>
        <w:contextualSpacing w:val="0"/>
        <w:jc w:val="both"/>
        <w:rPr>
          <w:rFonts w:ascii="Verdana" w:hAnsi="Verdana" w:cs="TT3BA2o00"/>
          <w:color w:val="183850" w:themeColor="text1"/>
          <w:sz w:val="20"/>
          <w:szCs w:val="20"/>
        </w:rPr>
      </w:pPr>
      <w:r w:rsidRPr="007200A7">
        <w:rPr>
          <w:rFonts w:ascii="Verdana" w:hAnsi="Verdana" w:cs="TT3BA2o00"/>
          <w:color w:val="183850" w:themeColor="text1"/>
          <w:sz w:val="20"/>
          <w:szCs w:val="20"/>
        </w:rPr>
        <w:t>Active Investing</w:t>
      </w:r>
    </w:p>
    <w:p w:rsidR="006403C0" w:rsidRPr="007200A7" w:rsidP="003B4083">
      <w:pPr>
        <w:autoSpaceDE w:val="0"/>
        <w:autoSpaceDN w:val="0"/>
        <w:adjustRightInd w:val="0"/>
        <w:spacing w:after="0"/>
        <w:jc w:val="both"/>
        <w:rPr>
          <w:rFonts w:ascii="Verdana" w:hAnsi="Verdana" w:cs="TT3B97o00"/>
          <w:color w:val="183850" w:themeColor="text1"/>
          <w:sz w:val="20"/>
          <w:szCs w:val="20"/>
        </w:rPr>
      </w:pPr>
    </w:p>
    <w:p w:rsidR="00197BA3" w:rsidRPr="00692968" w:rsidP="00692968">
      <w:pPr>
        <w:pStyle w:val="treb"/>
        <w:numPr>
          <w:ilvl w:val="0"/>
          <w:numId w:val="0"/>
        </w:numPr>
        <w:spacing w:after="0"/>
        <w:rPr>
          <w:rFonts w:ascii="Verdana" w:hAnsi="Verdana"/>
          <w:b w:val="0"/>
          <w:color w:val="183850" w:themeColor="text1"/>
          <w:sz w:val="20"/>
          <w:szCs w:val="20"/>
        </w:rPr>
      </w:pPr>
      <w:r w:rsidRPr="00692968">
        <w:rPr>
          <w:rFonts w:ascii="Verdana" w:hAnsi="Verdana"/>
          <w:b w:val="0"/>
          <w:color w:val="183850" w:themeColor="text1"/>
          <w:sz w:val="20"/>
          <w:szCs w:val="20"/>
        </w:rPr>
        <w:t>Responsibility for</w:t>
      </w:r>
      <w:r w:rsidRPr="00692968">
        <w:rPr>
          <w:rFonts w:ascii="Verdana" w:hAnsi="Verdana"/>
          <w:b w:val="0"/>
          <w:color w:val="183850" w:themeColor="text1"/>
          <w:sz w:val="20"/>
          <w:szCs w:val="20"/>
        </w:rPr>
        <w:t xml:space="preserve"> </w:t>
      </w:r>
      <w:r w:rsidRPr="00692968">
        <w:rPr>
          <w:rFonts w:ascii="Verdana" w:hAnsi="Verdana"/>
          <w:b w:val="0"/>
          <w:color w:val="183850" w:themeColor="text1"/>
          <w:sz w:val="20"/>
          <w:szCs w:val="20"/>
        </w:rPr>
        <w:t xml:space="preserve">the </w:t>
      </w:r>
      <w:r w:rsidRPr="00692968">
        <w:rPr>
          <w:rFonts w:ascii="Verdana" w:hAnsi="Verdana"/>
          <w:b w:val="0"/>
          <w:color w:val="183850" w:themeColor="text1"/>
          <w:sz w:val="20"/>
          <w:szCs w:val="20"/>
        </w:rPr>
        <w:t>practical implementation</w:t>
      </w:r>
      <w:r w:rsidRPr="00692968">
        <w:rPr>
          <w:rFonts w:ascii="Verdana" w:hAnsi="Verdana"/>
          <w:b w:val="0"/>
          <w:color w:val="183850" w:themeColor="text1"/>
          <w:sz w:val="20"/>
          <w:szCs w:val="20"/>
        </w:rPr>
        <w:t xml:space="preserve"> of the Fund's approach to RI is </w:t>
      </w:r>
      <w:r w:rsidRPr="00692968">
        <w:rPr>
          <w:rFonts w:ascii="Verdana" w:hAnsi="Verdana"/>
          <w:b w:val="0"/>
          <w:color w:val="183850" w:themeColor="text1"/>
          <w:sz w:val="20"/>
          <w:szCs w:val="20"/>
        </w:rPr>
        <w:t>devolved to L</w:t>
      </w:r>
      <w:r w:rsidRPr="00692968">
        <w:rPr>
          <w:rFonts w:ascii="Verdana" w:hAnsi="Verdana"/>
          <w:b w:val="0"/>
          <w:color w:val="183850" w:themeColor="text1"/>
          <w:sz w:val="20"/>
          <w:szCs w:val="20"/>
        </w:rPr>
        <w:t xml:space="preserve">ocal Pensions </w:t>
      </w:r>
      <w:r w:rsidRPr="00692968">
        <w:rPr>
          <w:rFonts w:ascii="Verdana" w:hAnsi="Verdana"/>
          <w:b w:val="0"/>
          <w:color w:val="183850" w:themeColor="text1"/>
          <w:sz w:val="20"/>
          <w:szCs w:val="20"/>
        </w:rPr>
        <w:t>P</w:t>
      </w:r>
      <w:r w:rsidRPr="00692968">
        <w:rPr>
          <w:rFonts w:ascii="Verdana" w:hAnsi="Verdana"/>
          <w:b w:val="0"/>
          <w:color w:val="183850" w:themeColor="text1"/>
          <w:sz w:val="20"/>
          <w:szCs w:val="20"/>
        </w:rPr>
        <w:t xml:space="preserve">artnership </w:t>
      </w:r>
      <w:r w:rsidRPr="00692968">
        <w:rPr>
          <w:rFonts w:ascii="Verdana" w:hAnsi="Verdana"/>
          <w:b w:val="0"/>
          <w:color w:val="183850" w:themeColor="text1"/>
          <w:sz w:val="20"/>
          <w:szCs w:val="20"/>
        </w:rPr>
        <w:t>I</w:t>
      </w:r>
      <w:r w:rsidRPr="00692968">
        <w:rPr>
          <w:rFonts w:ascii="Verdana" w:hAnsi="Verdana"/>
          <w:b w:val="0"/>
          <w:color w:val="183850" w:themeColor="text1"/>
          <w:sz w:val="20"/>
          <w:szCs w:val="20"/>
        </w:rPr>
        <w:t>nvestments Ltd (LPP I)</w:t>
      </w:r>
      <w:r w:rsidRPr="00692968">
        <w:rPr>
          <w:rFonts w:ascii="Verdana" w:hAnsi="Verdana"/>
          <w:b w:val="0"/>
          <w:color w:val="183850" w:themeColor="text1"/>
          <w:sz w:val="20"/>
          <w:szCs w:val="20"/>
        </w:rPr>
        <w:t xml:space="preserve"> as LCPF's provider of investment management services.</w:t>
      </w:r>
      <w:r w:rsidRPr="00692968">
        <w:rPr>
          <w:rFonts w:ascii="Verdana" w:hAnsi="Verdana"/>
          <w:b w:val="0"/>
          <w:color w:val="183850" w:themeColor="text1"/>
          <w:sz w:val="20"/>
          <w:szCs w:val="20"/>
        </w:rPr>
        <w:t xml:space="preserve"> The report which follows provides </w:t>
      </w:r>
      <w:r w:rsidRPr="00692968">
        <w:rPr>
          <w:rFonts w:ascii="Verdana" w:hAnsi="Verdana"/>
          <w:b w:val="0"/>
          <w:color w:val="183850" w:themeColor="text1"/>
          <w:sz w:val="20"/>
          <w:szCs w:val="20"/>
        </w:rPr>
        <w:t xml:space="preserve">the committee with </w:t>
      </w:r>
      <w:r w:rsidRPr="00692968">
        <w:rPr>
          <w:rFonts w:ascii="Verdana" w:hAnsi="Verdana"/>
          <w:b w:val="0"/>
          <w:color w:val="183850" w:themeColor="text1"/>
          <w:sz w:val="20"/>
          <w:szCs w:val="20"/>
        </w:rPr>
        <w:t xml:space="preserve">an update on RI activity </w:t>
      </w:r>
      <w:r w:rsidRPr="00692968">
        <w:rPr>
          <w:rFonts w:ascii="Verdana" w:hAnsi="Verdana"/>
          <w:b w:val="0"/>
          <w:color w:val="183850" w:themeColor="text1"/>
          <w:sz w:val="20"/>
          <w:szCs w:val="20"/>
        </w:rPr>
        <w:t>during</w:t>
      </w:r>
      <w:r w:rsidRPr="00692968">
        <w:rPr>
          <w:rFonts w:ascii="Verdana" w:hAnsi="Verdana"/>
          <w:b w:val="0"/>
          <w:color w:val="183850" w:themeColor="text1"/>
          <w:sz w:val="20"/>
          <w:szCs w:val="20"/>
        </w:rPr>
        <w:t xml:space="preserve"> the period 1st </w:t>
      </w:r>
      <w:r>
        <w:rPr>
          <w:rFonts w:ascii="Verdana" w:hAnsi="Verdana"/>
          <w:b w:val="0"/>
          <w:color w:val="183850" w:themeColor="text1"/>
          <w:sz w:val="20"/>
          <w:szCs w:val="20"/>
        </w:rPr>
        <w:t>October</w:t>
      </w:r>
      <w:r w:rsidRPr="00692968">
        <w:rPr>
          <w:rFonts w:ascii="Verdana" w:hAnsi="Verdana"/>
          <w:b w:val="0"/>
          <w:color w:val="183850" w:themeColor="text1"/>
          <w:sz w:val="20"/>
          <w:szCs w:val="20"/>
        </w:rPr>
        <w:t xml:space="preserve"> </w:t>
      </w:r>
      <w:r>
        <w:rPr>
          <w:rFonts w:ascii="Verdana" w:hAnsi="Verdana"/>
          <w:b w:val="0"/>
          <w:color w:val="183850" w:themeColor="text1"/>
          <w:sz w:val="20"/>
          <w:szCs w:val="20"/>
        </w:rPr>
        <w:t>to 31st</w:t>
      </w:r>
      <w:r w:rsidRPr="00692968">
        <w:rPr>
          <w:rFonts w:ascii="Verdana" w:hAnsi="Verdana"/>
          <w:b w:val="0"/>
          <w:color w:val="183850" w:themeColor="text1"/>
          <w:sz w:val="20"/>
          <w:szCs w:val="20"/>
        </w:rPr>
        <w:t xml:space="preserve"> </w:t>
      </w:r>
      <w:r>
        <w:rPr>
          <w:rFonts w:ascii="Verdana" w:hAnsi="Verdana"/>
          <w:b w:val="0"/>
          <w:color w:val="183850" w:themeColor="text1"/>
          <w:sz w:val="20"/>
          <w:szCs w:val="20"/>
        </w:rPr>
        <w:t>Dece</w:t>
      </w:r>
      <w:r w:rsidRPr="00692968">
        <w:rPr>
          <w:rFonts w:ascii="Verdana" w:hAnsi="Verdana"/>
          <w:b w:val="0"/>
          <w:color w:val="183850" w:themeColor="text1"/>
          <w:sz w:val="20"/>
          <w:szCs w:val="20"/>
        </w:rPr>
        <w:t>mber</w:t>
      </w:r>
      <w:r w:rsidRPr="00692968">
        <w:rPr>
          <w:rFonts w:ascii="Verdana" w:hAnsi="Verdana"/>
          <w:b w:val="0"/>
          <w:color w:val="183850" w:themeColor="text1"/>
          <w:sz w:val="20"/>
          <w:szCs w:val="20"/>
        </w:rPr>
        <w:t xml:space="preserve"> 2017</w:t>
      </w:r>
      <w:r w:rsidRPr="00692968">
        <w:rPr>
          <w:rFonts w:ascii="Verdana" w:hAnsi="Verdana"/>
          <w:b w:val="0"/>
          <w:color w:val="183850" w:themeColor="text1"/>
          <w:sz w:val="20"/>
          <w:szCs w:val="20"/>
        </w:rPr>
        <w:t xml:space="preserve"> plus insight on current and emerging issues</w:t>
      </w:r>
      <w:r w:rsidRPr="00692968">
        <w:rPr>
          <w:rFonts w:ascii="Verdana" w:hAnsi="Verdana"/>
          <w:b w:val="0"/>
          <w:color w:val="183850" w:themeColor="text1"/>
          <w:sz w:val="20"/>
          <w:szCs w:val="20"/>
        </w:rPr>
        <w:t xml:space="preserve">. </w:t>
      </w:r>
    </w:p>
    <w:p w:rsidR="00F83B47" w:rsidRPr="007200A7" w:rsidP="003B4083">
      <w:pPr>
        <w:autoSpaceDE w:val="0"/>
        <w:autoSpaceDN w:val="0"/>
        <w:adjustRightInd w:val="0"/>
        <w:spacing w:after="0"/>
        <w:jc w:val="both"/>
        <w:rPr>
          <w:rFonts w:ascii="Verdana" w:hAnsi="Verdana" w:cs="TT3BA2o00"/>
          <w:color w:val="183850" w:themeColor="text1"/>
          <w:sz w:val="20"/>
          <w:szCs w:val="20"/>
        </w:rPr>
      </w:pPr>
    </w:p>
    <w:p w:rsidR="00197BA3" w:rsidRPr="008E62D7" w:rsidP="008E62D7">
      <w:pPr>
        <w:pStyle w:val="treb"/>
        <w:numPr>
          <w:ilvl w:val="0"/>
          <w:numId w:val="5"/>
        </w:numPr>
        <w:spacing w:after="0"/>
        <w:ind w:left="0" w:firstLine="0"/>
        <w:rPr>
          <w:rFonts w:ascii="Verdana" w:hAnsi="Verdana"/>
          <w:color w:val="54BBAB" w:themeColor="text2"/>
          <w:sz w:val="20"/>
          <w:szCs w:val="20"/>
        </w:rPr>
      </w:pPr>
      <w:r w:rsidRPr="008E62D7">
        <w:rPr>
          <w:rFonts w:ascii="Verdana" w:hAnsi="Verdana"/>
          <w:color w:val="54BBAB" w:themeColor="text2"/>
          <w:sz w:val="20"/>
          <w:szCs w:val="20"/>
        </w:rPr>
        <w:t>Voting Globally</w:t>
      </w:r>
    </w:p>
    <w:p w:rsidR="00197BA3" w:rsidRPr="007200A7" w:rsidP="003B4083">
      <w:pPr>
        <w:pStyle w:val="treb"/>
        <w:numPr>
          <w:ilvl w:val="0"/>
          <w:numId w:val="0"/>
        </w:numPr>
        <w:spacing w:after="0"/>
        <w:rPr>
          <w:rFonts w:ascii="Verdana" w:hAnsi="Verdana"/>
          <w:color w:val="183850" w:themeColor="text1"/>
          <w:sz w:val="20"/>
          <w:szCs w:val="20"/>
        </w:rPr>
      </w:pPr>
    </w:p>
    <w:p w:rsidR="00B7162D" w:rsidRPr="00692968" w:rsidP="003B4083">
      <w:pPr>
        <w:autoSpaceDE w:val="0"/>
        <w:autoSpaceDN w:val="0"/>
        <w:adjustRightInd w:val="0"/>
        <w:spacing w:after="0"/>
        <w:rPr>
          <w:rFonts w:ascii="Verdana" w:hAnsi="Verdana" w:cs="Arial"/>
          <w:bCs/>
          <w:color w:val="183850" w:themeColor="text1"/>
          <w:sz w:val="20"/>
          <w:szCs w:val="20"/>
        </w:rPr>
      </w:pPr>
      <w:r w:rsidRPr="00692968">
        <w:rPr>
          <w:rFonts w:ascii="Verdana" w:hAnsi="Verdana" w:cs="Arial"/>
          <w:bCs/>
          <w:color w:val="183850" w:themeColor="text1"/>
          <w:sz w:val="20"/>
          <w:szCs w:val="20"/>
        </w:rPr>
        <w:t xml:space="preserve">Through its investment in the LPP I Global Equities Fund (GEF) </w:t>
      </w:r>
      <w:r w:rsidRPr="00692968">
        <w:rPr>
          <w:rFonts w:ascii="Verdana" w:hAnsi="Verdana" w:cs="Arial"/>
          <w:bCs/>
          <w:color w:val="183850" w:themeColor="text1"/>
          <w:sz w:val="20"/>
          <w:szCs w:val="20"/>
        </w:rPr>
        <w:t xml:space="preserve">LCPF </w:t>
      </w:r>
      <w:r w:rsidRPr="00692968">
        <w:rPr>
          <w:rFonts w:ascii="Verdana" w:hAnsi="Verdana" w:cs="Arial"/>
          <w:bCs/>
          <w:color w:val="183850" w:themeColor="text1"/>
          <w:sz w:val="20"/>
          <w:szCs w:val="20"/>
        </w:rPr>
        <w:t>own</w:t>
      </w:r>
      <w:r w:rsidRPr="00692968">
        <w:rPr>
          <w:rFonts w:ascii="Verdana" w:hAnsi="Verdana" w:cs="Arial"/>
          <w:bCs/>
          <w:color w:val="183850" w:themeColor="text1"/>
          <w:sz w:val="20"/>
          <w:szCs w:val="20"/>
        </w:rPr>
        <w:t>s</w:t>
      </w:r>
      <w:r w:rsidRPr="00692968">
        <w:rPr>
          <w:rFonts w:ascii="Verdana" w:hAnsi="Verdana" w:cs="Arial"/>
          <w:bCs/>
          <w:color w:val="183850" w:themeColor="text1"/>
          <w:sz w:val="20"/>
          <w:szCs w:val="20"/>
        </w:rPr>
        <w:t xml:space="preserve"> units in a pooled fund which invests in listed companies </w:t>
      </w:r>
      <w:r w:rsidRPr="00692968">
        <w:rPr>
          <w:rFonts w:ascii="Verdana" w:hAnsi="Verdana" w:cs="Arial"/>
          <w:bCs/>
          <w:color w:val="183850" w:themeColor="text1"/>
          <w:sz w:val="20"/>
          <w:szCs w:val="20"/>
        </w:rPr>
        <w:t>globally</w:t>
      </w:r>
      <w:r w:rsidRPr="00692968">
        <w:rPr>
          <w:rFonts w:ascii="Verdana" w:hAnsi="Verdana" w:cs="Arial"/>
          <w:bCs/>
          <w:color w:val="183850" w:themeColor="text1"/>
          <w:sz w:val="20"/>
          <w:szCs w:val="20"/>
        </w:rPr>
        <w:t>.</w:t>
      </w:r>
      <w:r w:rsidRPr="00692968">
        <w:rPr>
          <w:rFonts w:ascii="Verdana" w:hAnsi="Verdana" w:cs="Arial"/>
          <w:bCs/>
          <w:color w:val="183850" w:themeColor="text1"/>
          <w:sz w:val="20"/>
          <w:szCs w:val="20"/>
        </w:rPr>
        <w:t xml:space="preserve"> </w:t>
      </w:r>
      <w:r w:rsidRPr="00692968">
        <w:rPr>
          <w:rFonts w:ascii="Verdana" w:hAnsi="Verdana" w:cs="Arial"/>
          <w:bCs/>
          <w:color w:val="183850" w:themeColor="text1"/>
          <w:sz w:val="20"/>
          <w:szCs w:val="20"/>
        </w:rPr>
        <w:t>Investors</w:t>
      </w:r>
      <w:r w:rsidRPr="00692968">
        <w:rPr>
          <w:rFonts w:ascii="Verdana" w:hAnsi="Verdana" w:cs="Arial"/>
          <w:bCs/>
          <w:color w:val="183850" w:themeColor="text1"/>
          <w:sz w:val="20"/>
          <w:szCs w:val="20"/>
        </w:rPr>
        <w:t xml:space="preserve"> in the GEF delegate the control and exercise of shareholder voting to LPP I as part of arrangements which accommodate </w:t>
      </w:r>
      <w:r w:rsidRPr="00692968">
        <w:rPr>
          <w:rFonts w:ascii="Verdana" w:hAnsi="Verdana" w:cs="Arial"/>
          <w:bCs/>
          <w:color w:val="183850" w:themeColor="text1"/>
          <w:sz w:val="20"/>
          <w:szCs w:val="20"/>
        </w:rPr>
        <w:t>a</w:t>
      </w:r>
      <w:r w:rsidRPr="00692968">
        <w:rPr>
          <w:rFonts w:ascii="Verdana" w:hAnsi="Verdana" w:cs="Arial"/>
          <w:bCs/>
          <w:color w:val="183850" w:themeColor="text1"/>
          <w:sz w:val="20"/>
          <w:szCs w:val="20"/>
        </w:rPr>
        <w:t xml:space="preserve"> pooled fund structure and associated </w:t>
      </w:r>
      <w:r w:rsidRPr="00692968">
        <w:rPr>
          <w:rFonts w:ascii="Verdana" w:hAnsi="Verdana" w:cs="Arial"/>
          <w:bCs/>
          <w:color w:val="183850" w:themeColor="text1"/>
          <w:sz w:val="20"/>
          <w:szCs w:val="20"/>
        </w:rPr>
        <w:t>ownership arrangements</w:t>
      </w:r>
      <w:r w:rsidRPr="00692968">
        <w:rPr>
          <w:rFonts w:ascii="Verdana" w:hAnsi="Verdana" w:cs="Arial"/>
          <w:bCs/>
          <w:color w:val="183850" w:themeColor="text1"/>
          <w:sz w:val="20"/>
          <w:szCs w:val="20"/>
        </w:rPr>
        <w:t>. This</w:t>
      </w:r>
      <w:r w:rsidRPr="003B4083">
        <w:rPr>
          <w:rFonts w:ascii="Verdana" w:hAnsi="Verdana" w:cs="Arial"/>
          <w:color w:val="183850" w:themeColor="text1"/>
          <w:sz w:val="20"/>
          <w:szCs w:val="20"/>
        </w:rPr>
        <w:t xml:space="preserve"> </w:t>
      </w:r>
      <w:r w:rsidRPr="00692968">
        <w:rPr>
          <w:rFonts w:ascii="Verdana" w:hAnsi="Verdana" w:cs="Arial"/>
          <w:bCs/>
          <w:color w:val="183850" w:themeColor="text1"/>
          <w:sz w:val="20"/>
          <w:szCs w:val="20"/>
        </w:rPr>
        <w:t>reflects that c</w:t>
      </w:r>
      <w:r w:rsidRPr="00692968">
        <w:rPr>
          <w:rFonts w:ascii="Verdana" w:hAnsi="Verdana" w:cs="Arial"/>
          <w:bCs/>
          <w:color w:val="183850" w:themeColor="text1"/>
          <w:sz w:val="20"/>
          <w:szCs w:val="20"/>
        </w:rPr>
        <w:t>lients</w:t>
      </w:r>
      <w:r w:rsidRPr="00692968">
        <w:rPr>
          <w:rFonts w:ascii="Verdana" w:hAnsi="Verdana" w:cs="Arial"/>
          <w:bCs/>
          <w:color w:val="183850" w:themeColor="text1"/>
          <w:sz w:val="20"/>
          <w:szCs w:val="20"/>
        </w:rPr>
        <w:t xml:space="preserve"> </w:t>
      </w:r>
      <w:r w:rsidRPr="00692968">
        <w:rPr>
          <w:rFonts w:ascii="Verdana" w:hAnsi="Verdana" w:cs="Arial"/>
          <w:bCs/>
          <w:color w:val="183850" w:themeColor="text1"/>
          <w:sz w:val="20"/>
          <w:szCs w:val="20"/>
        </w:rPr>
        <w:t xml:space="preserve">who </w:t>
      </w:r>
      <w:r w:rsidRPr="00692968">
        <w:rPr>
          <w:rFonts w:ascii="Verdana" w:hAnsi="Verdana" w:cs="Arial"/>
          <w:bCs/>
          <w:color w:val="183850" w:themeColor="text1"/>
          <w:sz w:val="20"/>
          <w:szCs w:val="20"/>
        </w:rPr>
        <w:t>hold units in the GEF</w:t>
      </w:r>
      <w:r w:rsidRPr="00692968">
        <w:rPr>
          <w:rFonts w:ascii="Verdana" w:hAnsi="Verdana" w:cs="Arial"/>
          <w:bCs/>
          <w:color w:val="183850" w:themeColor="text1"/>
          <w:sz w:val="20"/>
          <w:szCs w:val="20"/>
        </w:rPr>
        <w:t xml:space="preserve"> </w:t>
      </w:r>
      <w:r w:rsidRPr="00692968">
        <w:rPr>
          <w:rFonts w:ascii="Verdana" w:hAnsi="Verdana" w:cs="Arial"/>
          <w:bCs/>
          <w:color w:val="183850" w:themeColor="text1"/>
          <w:sz w:val="20"/>
          <w:szCs w:val="20"/>
        </w:rPr>
        <w:t xml:space="preserve">are beneficial owners </w:t>
      </w:r>
      <w:r w:rsidRPr="00692968">
        <w:rPr>
          <w:rFonts w:ascii="Verdana" w:hAnsi="Verdana" w:cs="Arial"/>
          <w:bCs/>
          <w:color w:val="183850" w:themeColor="text1"/>
          <w:sz w:val="20"/>
          <w:szCs w:val="20"/>
        </w:rPr>
        <w:t xml:space="preserve">in common </w:t>
      </w:r>
      <w:r w:rsidRPr="00692968">
        <w:rPr>
          <w:rFonts w:ascii="Verdana" w:hAnsi="Verdana" w:cs="Arial"/>
          <w:bCs/>
          <w:color w:val="183850" w:themeColor="text1"/>
          <w:sz w:val="20"/>
          <w:szCs w:val="20"/>
        </w:rPr>
        <w:t xml:space="preserve">but </w:t>
      </w:r>
      <w:r w:rsidRPr="00692968">
        <w:rPr>
          <w:rFonts w:ascii="Verdana" w:hAnsi="Verdana" w:cs="Arial"/>
          <w:bCs/>
          <w:color w:val="183850" w:themeColor="text1"/>
          <w:sz w:val="20"/>
          <w:szCs w:val="20"/>
        </w:rPr>
        <w:t xml:space="preserve">do </w:t>
      </w:r>
      <w:r w:rsidRPr="00692968">
        <w:rPr>
          <w:rFonts w:ascii="Verdana" w:hAnsi="Verdana" w:cs="Arial"/>
          <w:bCs/>
          <w:color w:val="183850" w:themeColor="text1"/>
          <w:sz w:val="20"/>
          <w:szCs w:val="20"/>
        </w:rPr>
        <w:t xml:space="preserve">not </w:t>
      </w:r>
      <w:r w:rsidRPr="00692968">
        <w:rPr>
          <w:rFonts w:ascii="Verdana" w:hAnsi="Verdana" w:cs="Arial"/>
          <w:bCs/>
          <w:color w:val="183850" w:themeColor="text1"/>
          <w:sz w:val="20"/>
          <w:szCs w:val="20"/>
        </w:rPr>
        <w:t xml:space="preserve">directly </w:t>
      </w:r>
      <w:r w:rsidRPr="00692968">
        <w:rPr>
          <w:rFonts w:ascii="Verdana" w:hAnsi="Verdana" w:cs="Arial"/>
          <w:bCs/>
          <w:color w:val="183850" w:themeColor="text1"/>
          <w:sz w:val="20"/>
          <w:szCs w:val="20"/>
        </w:rPr>
        <w:t xml:space="preserve">own </w:t>
      </w:r>
      <w:r w:rsidRPr="00692968">
        <w:rPr>
          <w:rFonts w:ascii="Verdana" w:hAnsi="Verdana" w:cs="Arial"/>
          <w:bCs/>
          <w:color w:val="183850" w:themeColor="text1"/>
          <w:sz w:val="20"/>
          <w:szCs w:val="20"/>
        </w:rPr>
        <w:t>underlying securities</w:t>
      </w:r>
      <w:r w:rsidRPr="00692968">
        <w:rPr>
          <w:rFonts w:ascii="Verdana" w:hAnsi="Verdana" w:cs="Arial"/>
          <w:bCs/>
          <w:color w:val="183850" w:themeColor="text1"/>
          <w:sz w:val="20"/>
          <w:szCs w:val="20"/>
        </w:rPr>
        <w:t xml:space="preserve">. </w:t>
      </w:r>
    </w:p>
    <w:p w:rsidR="00FC2A79" w:rsidRPr="00692968" w:rsidP="003B4083">
      <w:pPr>
        <w:autoSpaceDE w:val="0"/>
        <w:autoSpaceDN w:val="0"/>
        <w:adjustRightInd w:val="0"/>
        <w:spacing w:after="0"/>
        <w:rPr>
          <w:rFonts w:ascii="Verdana" w:hAnsi="Verdana" w:cs="Arial"/>
          <w:bCs/>
          <w:color w:val="183850" w:themeColor="text1"/>
          <w:sz w:val="20"/>
          <w:szCs w:val="20"/>
        </w:rPr>
      </w:pPr>
    </w:p>
    <w:p w:rsidR="0004532C" w:rsidRPr="00692968" w:rsidP="003B4083">
      <w:pPr>
        <w:autoSpaceDE w:val="0"/>
        <w:autoSpaceDN w:val="0"/>
        <w:adjustRightInd w:val="0"/>
        <w:spacing w:after="0"/>
        <w:rPr>
          <w:rFonts w:ascii="Verdana" w:hAnsi="Verdana" w:cs="Arial"/>
          <w:bCs/>
          <w:color w:val="183850" w:themeColor="text1"/>
          <w:sz w:val="20"/>
          <w:szCs w:val="20"/>
        </w:rPr>
      </w:pPr>
      <w:r w:rsidRPr="00692968">
        <w:rPr>
          <w:rFonts w:ascii="Verdana" w:hAnsi="Verdana" w:cs="Arial"/>
          <w:bCs/>
          <w:color w:val="183850" w:themeColor="text1"/>
          <w:sz w:val="20"/>
          <w:szCs w:val="20"/>
        </w:rPr>
        <w:t xml:space="preserve">LPP I </w:t>
      </w:r>
      <w:r w:rsidRPr="00692968">
        <w:rPr>
          <w:rFonts w:ascii="Verdana" w:hAnsi="Verdana" w:cs="Arial"/>
          <w:bCs/>
          <w:color w:val="183850" w:themeColor="text1"/>
          <w:sz w:val="20"/>
          <w:szCs w:val="20"/>
        </w:rPr>
        <w:t>exercise</w:t>
      </w:r>
      <w:r w:rsidRPr="00692968">
        <w:rPr>
          <w:rFonts w:ascii="Verdana" w:hAnsi="Verdana" w:cs="Arial"/>
          <w:bCs/>
          <w:color w:val="183850" w:themeColor="text1"/>
          <w:sz w:val="20"/>
          <w:szCs w:val="20"/>
        </w:rPr>
        <w:t xml:space="preserve"> shareholder voting rights </w:t>
      </w:r>
      <w:r w:rsidRPr="00692968">
        <w:rPr>
          <w:rFonts w:ascii="Verdana" w:hAnsi="Verdana" w:cs="Arial"/>
          <w:bCs/>
          <w:color w:val="183850" w:themeColor="text1"/>
          <w:sz w:val="20"/>
          <w:szCs w:val="20"/>
        </w:rPr>
        <w:t xml:space="preserve">for the GEF centrally rather than delegating voting to individual asset managers. Decisions are taken </w:t>
      </w:r>
      <w:r w:rsidRPr="00692968">
        <w:rPr>
          <w:rFonts w:ascii="Verdana" w:hAnsi="Verdana" w:cs="Arial"/>
          <w:bCs/>
          <w:color w:val="183850" w:themeColor="text1"/>
          <w:sz w:val="20"/>
          <w:szCs w:val="20"/>
        </w:rPr>
        <w:t xml:space="preserve">in </w:t>
      </w:r>
      <w:r w:rsidRPr="00692968">
        <w:rPr>
          <w:rFonts w:ascii="Verdana" w:hAnsi="Verdana" w:cs="Arial"/>
          <w:bCs/>
          <w:color w:val="183850" w:themeColor="text1"/>
          <w:sz w:val="20"/>
          <w:szCs w:val="20"/>
        </w:rPr>
        <w:t xml:space="preserve">line with the </w:t>
      </w:r>
      <w:r w:rsidRPr="00692968">
        <w:rPr>
          <w:rFonts w:ascii="Verdana" w:hAnsi="Verdana" w:cs="Arial"/>
          <w:bCs/>
          <w:color w:val="183850" w:themeColor="text1"/>
          <w:sz w:val="20"/>
          <w:szCs w:val="20"/>
        </w:rPr>
        <w:t xml:space="preserve">collective </w:t>
      </w:r>
      <w:r w:rsidRPr="00692968">
        <w:rPr>
          <w:rFonts w:ascii="Verdana" w:hAnsi="Verdana" w:cs="Arial"/>
          <w:bCs/>
          <w:color w:val="183850" w:themeColor="text1"/>
          <w:sz w:val="20"/>
          <w:szCs w:val="20"/>
        </w:rPr>
        <w:t xml:space="preserve">best interests of </w:t>
      </w:r>
      <w:r w:rsidRPr="00692968">
        <w:rPr>
          <w:rFonts w:ascii="Verdana" w:hAnsi="Verdana" w:cs="Arial"/>
          <w:bCs/>
          <w:color w:val="183850" w:themeColor="text1"/>
          <w:sz w:val="20"/>
          <w:szCs w:val="20"/>
        </w:rPr>
        <w:t>client pension</w:t>
      </w:r>
      <w:r w:rsidRPr="00692968">
        <w:rPr>
          <w:rFonts w:ascii="Verdana" w:hAnsi="Verdana" w:cs="Arial"/>
          <w:bCs/>
          <w:color w:val="183850" w:themeColor="text1"/>
          <w:sz w:val="20"/>
          <w:szCs w:val="20"/>
        </w:rPr>
        <w:t xml:space="preserve"> funds</w:t>
      </w:r>
      <w:r w:rsidRPr="00692968">
        <w:rPr>
          <w:rFonts w:ascii="Verdana" w:hAnsi="Verdana" w:cs="Arial"/>
          <w:bCs/>
          <w:color w:val="183850" w:themeColor="text1"/>
          <w:sz w:val="20"/>
          <w:szCs w:val="20"/>
        </w:rPr>
        <w:t xml:space="preserve"> as institutional investors</w:t>
      </w:r>
      <w:r w:rsidRPr="00692968">
        <w:rPr>
          <w:rFonts w:ascii="Verdana" w:hAnsi="Verdana" w:cs="Arial"/>
          <w:bCs/>
          <w:color w:val="183850" w:themeColor="text1"/>
          <w:sz w:val="20"/>
          <w:szCs w:val="20"/>
        </w:rPr>
        <w:t xml:space="preserve"> and take account of voting recommendations from an external provider of proxy voting and governance research. </w:t>
      </w:r>
      <w:r w:rsidRPr="00692968">
        <w:rPr>
          <w:rFonts w:ascii="Verdana" w:hAnsi="Verdana" w:cs="Arial"/>
          <w:bCs/>
          <w:color w:val="183850" w:themeColor="text1"/>
          <w:sz w:val="20"/>
          <w:szCs w:val="20"/>
        </w:rPr>
        <w:t xml:space="preserve">Institutional Shareholder Services (ISS) </w:t>
      </w:r>
      <w:r w:rsidRPr="00692968">
        <w:rPr>
          <w:rFonts w:ascii="Verdana" w:hAnsi="Verdana" w:cs="Arial"/>
          <w:bCs/>
          <w:color w:val="183850" w:themeColor="text1"/>
          <w:sz w:val="20"/>
          <w:szCs w:val="20"/>
        </w:rPr>
        <w:t xml:space="preserve">provide voting recommendations in line </w:t>
      </w:r>
      <w:r w:rsidRPr="00692968">
        <w:rPr>
          <w:rFonts w:ascii="Verdana" w:hAnsi="Verdana" w:cs="Arial"/>
          <w:bCs/>
          <w:color w:val="183850" w:themeColor="text1"/>
          <w:sz w:val="20"/>
          <w:szCs w:val="20"/>
        </w:rPr>
        <w:t xml:space="preserve">with </w:t>
      </w:r>
      <w:r w:rsidRPr="00692968">
        <w:rPr>
          <w:rFonts w:ascii="Verdana" w:hAnsi="Verdana" w:cs="Arial"/>
          <w:bCs/>
          <w:color w:val="183850" w:themeColor="text1"/>
          <w:sz w:val="20"/>
          <w:szCs w:val="20"/>
        </w:rPr>
        <w:t xml:space="preserve">applying </w:t>
      </w:r>
      <w:r w:rsidRPr="00692968">
        <w:rPr>
          <w:rFonts w:ascii="Verdana" w:hAnsi="Verdana" w:cs="Arial"/>
          <w:bCs/>
          <w:color w:val="183850" w:themeColor="text1"/>
          <w:sz w:val="20"/>
          <w:szCs w:val="20"/>
        </w:rPr>
        <w:t xml:space="preserve">a Sustainability Voting Policy designed to ensure the consideration of ESG factors within analysis. LPP I </w:t>
      </w:r>
      <w:r w:rsidRPr="00692968">
        <w:rPr>
          <w:rFonts w:ascii="Verdana" w:hAnsi="Verdana" w:cs="Arial"/>
          <w:bCs/>
          <w:color w:val="183850" w:themeColor="text1"/>
          <w:sz w:val="20"/>
          <w:szCs w:val="20"/>
        </w:rPr>
        <w:t>review</w:t>
      </w:r>
      <w:r w:rsidRPr="00692968">
        <w:rPr>
          <w:rFonts w:ascii="Verdana" w:hAnsi="Verdana" w:cs="Arial"/>
          <w:bCs/>
          <w:color w:val="183850" w:themeColor="text1"/>
          <w:sz w:val="20"/>
          <w:szCs w:val="20"/>
        </w:rPr>
        <w:t xml:space="preserve"> </w:t>
      </w:r>
      <w:r w:rsidRPr="00692968">
        <w:rPr>
          <w:rFonts w:ascii="Verdana" w:hAnsi="Verdana" w:cs="Arial"/>
          <w:bCs/>
          <w:color w:val="183850" w:themeColor="text1"/>
          <w:sz w:val="20"/>
          <w:szCs w:val="20"/>
        </w:rPr>
        <w:t xml:space="preserve">voting recommendations </w:t>
      </w:r>
      <w:r w:rsidRPr="00692968">
        <w:rPr>
          <w:rFonts w:ascii="Verdana" w:hAnsi="Verdana" w:cs="Arial"/>
          <w:bCs/>
          <w:color w:val="183850" w:themeColor="text1"/>
          <w:sz w:val="20"/>
          <w:szCs w:val="20"/>
        </w:rPr>
        <w:t>and take</w:t>
      </w:r>
      <w:r>
        <w:rPr>
          <w:rFonts w:ascii="Verdana" w:hAnsi="Verdana" w:cs="Arial"/>
          <w:bCs/>
          <w:color w:val="183850" w:themeColor="text1"/>
          <w:sz w:val="20"/>
          <w:szCs w:val="20"/>
        </w:rPr>
        <w:t>s</w:t>
      </w:r>
      <w:r w:rsidRPr="00692968">
        <w:rPr>
          <w:rFonts w:ascii="Verdana" w:hAnsi="Verdana" w:cs="Arial"/>
          <w:bCs/>
          <w:color w:val="183850" w:themeColor="text1"/>
          <w:sz w:val="20"/>
          <w:szCs w:val="20"/>
        </w:rPr>
        <w:t xml:space="preserve"> the final decision on all voting.</w:t>
      </w:r>
    </w:p>
    <w:p w:rsidR="00197BA3" w:rsidRPr="00692968" w:rsidP="003B4083">
      <w:pPr>
        <w:autoSpaceDE w:val="0"/>
        <w:autoSpaceDN w:val="0"/>
        <w:adjustRightInd w:val="0"/>
        <w:spacing w:after="0"/>
        <w:rPr>
          <w:rFonts w:ascii="Verdana" w:hAnsi="Verdana" w:cs="Arial"/>
          <w:bCs/>
          <w:color w:val="183850" w:themeColor="text1"/>
          <w:sz w:val="20"/>
          <w:szCs w:val="20"/>
        </w:rPr>
      </w:pPr>
      <w:r w:rsidRPr="00692968">
        <w:rPr>
          <w:rFonts w:ascii="Verdana" w:hAnsi="Verdana" w:cs="Arial"/>
          <w:bCs/>
          <w:color w:val="183850" w:themeColor="text1"/>
          <w:sz w:val="20"/>
          <w:szCs w:val="20"/>
        </w:rPr>
        <w:t xml:space="preserve"> </w:t>
      </w:r>
    </w:p>
    <w:p w:rsidR="009D783C" w:rsidP="00692968">
      <w:pPr>
        <w:autoSpaceDE w:val="0"/>
        <w:autoSpaceDN w:val="0"/>
        <w:adjustRightInd w:val="0"/>
        <w:spacing w:after="0"/>
        <w:rPr>
          <w:rFonts w:ascii="Verdana" w:hAnsi="Verdana" w:cs="Arial"/>
          <w:bCs/>
          <w:color w:val="183850" w:themeColor="text1"/>
          <w:sz w:val="20"/>
          <w:szCs w:val="20"/>
        </w:rPr>
      </w:pPr>
      <w:r>
        <w:rPr>
          <w:rFonts w:ascii="Verdana" w:hAnsi="Verdana" w:cs="Arial"/>
          <w:bCs/>
          <w:color w:val="183850" w:themeColor="text1"/>
          <w:sz w:val="20"/>
          <w:szCs w:val="20"/>
        </w:rPr>
        <w:t>I</w:t>
      </w:r>
      <w:r w:rsidRPr="008103F0">
        <w:rPr>
          <w:rFonts w:ascii="Verdana" w:hAnsi="Verdana" w:cs="Arial"/>
          <w:bCs/>
          <w:color w:val="183850" w:themeColor="text1"/>
          <w:sz w:val="20"/>
          <w:szCs w:val="20"/>
        </w:rPr>
        <w:t>n</w:t>
      </w:r>
      <w:r w:rsidRPr="008103F0">
        <w:rPr>
          <w:rFonts w:ascii="Verdana" w:hAnsi="Verdana" w:cs="Arial"/>
          <w:bCs/>
          <w:color w:val="183850" w:themeColor="text1"/>
          <w:sz w:val="20"/>
          <w:szCs w:val="20"/>
        </w:rPr>
        <w:t xml:space="preserve"> the </w:t>
      </w:r>
      <w:r>
        <w:rPr>
          <w:rFonts w:ascii="Verdana" w:hAnsi="Verdana" w:cs="Arial"/>
          <w:bCs/>
          <w:color w:val="183850" w:themeColor="text1"/>
          <w:sz w:val="20"/>
          <w:szCs w:val="20"/>
        </w:rPr>
        <w:t>fourth</w:t>
      </w:r>
      <w:r w:rsidRPr="008103F0">
        <w:rPr>
          <w:rFonts w:ascii="Verdana" w:hAnsi="Verdana" w:cs="Arial"/>
          <w:bCs/>
          <w:color w:val="183850" w:themeColor="text1"/>
          <w:sz w:val="20"/>
          <w:szCs w:val="20"/>
        </w:rPr>
        <w:t xml:space="preserve"> quarter of 2017</w:t>
      </w:r>
      <w:r w:rsidRPr="008103F0">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shareholder </w:t>
      </w:r>
      <w:r>
        <w:rPr>
          <w:rFonts w:ascii="Verdana" w:hAnsi="Verdana" w:cs="Arial"/>
          <w:bCs/>
          <w:color w:val="183850" w:themeColor="text1"/>
          <w:sz w:val="20"/>
          <w:szCs w:val="20"/>
        </w:rPr>
        <w:t>v</w:t>
      </w:r>
      <w:r w:rsidRPr="008103F0">
        <w:rPr>
          <w:rFonts w:ascii="Verdana" w:hAnsi="Verdana" w:cs="Arial"/>
          <w:bCs/>
          <w:color w:val="183850" w:themeColor="text1"/>
          <w:sz w:val="20"/>
          <w:szCs w:val="20"/>
        </w:rPr>
        <w:t xml:space="preserve">oting headlines </w:t>
      </w:r>
      <w:r>
        <w:rPr>
          <w:rFonts w:ascii="Verdana" w:hAnsi="Verdana" w:cs="Arial"/>
          <w:bCs/>
          <w:color w:val="183850" w:themeColor="text1"/>
          <w:sz w:val="20"/>
          <w:szCs w:val="20"/>
        </w:rPr>
        <w:t xml:space="preserve">for the GEF </w:t>
      </w:r>
      <w:r w:rsidRPr="008103F0">
        <w:rPr>
          <w:rFonts w:ascii="Verdana" w:hAnsi="Verdana" w:cs="Arial"/>
          <w:bCs/>
          <w:color w:val="183850" w:themeColor="text1"/>
          <w:sz w:val="20"/>
          <w:szCs w:val="20"/>
        </w:rPr>
        <w:t>were as follows:</w:t>
      </w:r>
    </w:p>
    <w:p w:rsidR="00BE766B" w:rsidRPr="00BE766B" w:rsidP="00692968">
      <w:pPr>
        <w:autoSpaceDE w:val="0"/>
        <w:autoSpaceDN w:val="0"/>
        <w:adjustRightInd w:val="0"/>
        <w:spacing w:after="0"/>
        <w:rPr>
          <w:rFonts w:ascii="Verdana" w:hAnsi="Verdana" w:cs="Arial"/>
          <w:bCs/>
          <w:color w:val="183850" w:themeColor="text1"/>
          <w:sz w:val="20"/>
          <w:szCs w:val="20"/>
          <w:u w:val="single"/>
        </w:rPr>
      </w:pPr>
    </w:p>
    <w:p w:rsidR="00BE766B" w:rsidP="00D95CF3">
      <w:pPr>
        <w:spacing w:after="0"/>
        <w:rPr>
          <w:rFonts w:ascii="Verdana" w:hAnsi="Verdana" w:cs="Arial"/>
          <w:bCs/>
          <w:color w:val="183850" w:themeColor="text1"/>
          <w:sz w:val="20"/>
          <w:szCs w:val="20"/>
          <w:u w:val="single"/>
        </w:rPr>
      </w:pPr>
      <w:r w:rsidRPr="00BE766B">
        <w:rPr>
          <w:rFonts w:ascii="Verdana" w:hAnsi="Verdana" w:cs="Arial"/>
          <w:bCs/>
          <w:color w:val="183850" w:themeColor="text1"/>
          <w:sz w:val="20"/>
          <w:szCs w:val="20"/>
          <w:u w:val="single"/>
        </w:rPr>
        <w:t>LPP Global Equities Fund (GEF)</w:t>
      </w:r>
    </w:p>
    <w:p w:rsidR="00D95CF3" w:rsidP="00D95CF3">
      <w:pPr>
        <w:spacing w:after="0"/>
        <w:rPr>
          <w:rFonts w:ascii="Verdana" w:hAnsi="Verdana"/>
          <w:color w:val="183850" w:themeColor="text1"/>
          <w:u w:val="single"/>
        </w:rPr>
      </w:pPr>
    </w:p>
    <w:tbl>
      <w:tblPr>
        <w:tblW w:w="6804" w:type="dxa"/>
        <w:tblInd w:w="-10" w:type="dxa"/>
        <w:tblLook w:val="04A0"/>
      </w:tblPr>
      <w:tblGrid>
        <w:gridCol w:w="6075"/>
        <w:gridCol w:w="729"/>
      </w:tblGrid>
      <w:tr w:rsidTr="00DF0B94">
        <w:tblPrEx>
          <w:tblW w:w="6804" w:type="dxa"/>
          <w:tblInd w:w="-10" w:type="dxa"/>
          <w:tblLook w:val="04A0"/>
        </w:tblPrEx>
        <w:trPr>
          <w:trHeight w:val="270"/>
        </w:trPr>
        <w:tc>
          <w:tcPr>
            <w:tcW w:w="607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E766B" w:rsidRPr="00A375D9" w:rsidP="00D95CF3">
            <w:pPr>
              <w:spacing w:after="0"/>
              <w:ind w:left="-255" w:firstLine="284"/>
              <w:rPr>
                <w:rFonts w:ascii="Verdana" w:hAnsi="Verdana" w:cs="Arial"/>
                <w:color w:val="183850" w:themeColor="text1"/>
                <w:sz w:val="20"/>
                <w:szCs w:val="20"/>
              </w:rPr>
            </w:pPr>
            <w:r w:rsidRPr="00A375D9">
              <w:rPr>
                <w:rFonts w:ascii="Verdana" w:hAnsi="Verdana" w:cs="Arial"/>
                <w:color w:val="183850" w:themeColor="text1"/>
                <w:sz w:val="20"/>
                <w:szCs w:val="20"/>
              </w:rPr>
              <w:t>Total company meetings taking place</w:t>
            </w:r>
          </w:p>
        </w:tc>
        <w:tc>
          <w:tcPr>
            <w:tcW w:w="729" w:type="dxa"/>
            <w:tcBorders>
              <w:top w:val="single" w:sz="8" w:space="0" w:color="auto"/>
              <w:left w:val="nil"/>
              <w:bottom w:val="single" w:sz="8" w:space="0" w:color="auto"/>
              <w:right w:val="single" w:sz="8" w:space="0" w:color="auto"/>
            </w:tcBorders>
            <w:shd w:val="clear" w:color="000000" w:fill="FFFFFF"/>
            <w:noWrap/>
            <w:vAlign w:val="center"/>
            <w:hideMark/>
          </w:tcPr>
          <w:p w:rsidR="00BE766B" w:rsidRPr="00A375D9" w:rsidP="00D95CF3">
            <w:pPr>
              <w:spacing w:after="0"/>
              <w:ind w:left="-255" w:firstLine="284"/>
              <w:rPr>
                <w:rFonts w:ascii="Verdana" w:hAnsi="Verdana" w:cs="Arial"/>
                <w:color w:val="183850" w:themeColor="text1"/>
                <w:sz w:val="20"/>
                <w:szCs w:val="20"/>
              </w:rPr>
            </w:pPr>
            <w:r w:rsidRPr="00A375D9">
              <w:rPr>
                <w:rFonts w:ascii="Verdana" w:hAnsi="Verdana" w:cs="Arial"/>
                <w:color w:val="183850" w:themeColor="text1"/>
                <w:sz w:val="20"/>
                <w:szCs w:val="20"/>
              </w:rPr>
              <w:t>43</w:t>
            </w:r>
          </w:p>
        </w:tc>
      </w:tr>
      <w:tr w:rsidTr="00D95CF3">
        <w:tblPrEx>
          <w:tblW w:w="6804" w:type="dxa"/>
          <w:tblInd w:w="-10" w:type="dxa"/>
          <w:tblLook w:val="04A0"/>
        </w:tblPrEx>
        <w:trPr>
          <w:trHeight w:val="490"/>
        </w:trPr>
        <w:tc>
          <w:tcPr>
            <w:tcW w:w="6075" w:type="dxa"/>
            <w:tcBorders>
              <w:top w:val="nil"/>
              <w:left w:val="single" w:sz="8" w:space="0" w:color="auto"/>
              <w:bottom w:val="single" w:sz="8" w:space="0" w:color="auto"/>
              <w:right w:val="single" w:sz="8" w:space="0" w:color="auto"/>
            </w:tcBorders>
            <w:shd w:val="clear" w:color="000000" w:fill="FFFFFF"/>
            <w:noWrap/>
            <w:vAlign w:val="center"/>
            <w:hideMark/>
          </w:tcPr>
          <w:p w:rsidR="00BE766B" w:rsidRPr="00A375D9" w:rsidP="00D95CF3">
            <w:pPr>
              <w:spacing w:after="0"/>
              <w:ind w:left="-255" w:firstLine="284"/>
              <w:rPr>
                <w:rFonts w:ascii="Verdana" w:hAnsi="Verdana" w:cs="Arial"/>
                <w:color w:val="183850" w:themeColor="text1"/>
                <w:sz w:val="20"/>
                <w:szCs w:val="20"/>
              </w:rPr>
            </w:pPr>
            <w:r w:rsidRPr="00A375D9">
              <w:rPr>
                <w:rFonts w:ascii="Verdana" w:hAnsi="Verdana" w:cs="Arial"/>
                <w:color w:val="183850" w:themeColor="text1"/>
                <w:sz w:val="20"/>
                <w:szCs w:val="20"/>
              </w:rPr>
              <w:t xml:space="preserve">Total resolutions </w:t>
            </w:r>
          </w:p>
          <w:p w:rsidR="00BE766B" w:rsidRPr="00A375D9" w:rsidP="00D95CF3">
            <w:pPr>
              <w:spacing w:after="0"/>
              <w:ind w:left="-255" w:firstLine="284"/>
              <w:rPr>
                <w:rFonts w:ascii="Verdana" w:hAnsi="Verdana" w:cs="Arial"/>
                <w:color w:val="183850" w:themeColor="text1"/>
                <w:sz w:val="20"/>
                <w:szCs w:val="20"/>
              </w:rPr>
            </w:pPr>
            <w:r w:rsidRPr="00A375D9">
              <w:rPr>
                <w:rFonts w:ascii="Verdana" w:hAnsi="Verdana" w:cs="Arial"/>
                <w:color w:val="183850" w:themeColor="text1"/>
                <w:sz w:val="20"/>
                <w:szCs w:val="20"/>
              </w:rPr>
              <w:t>(management and shareholder proposals)</w:t>
            </w:r>
          </w:p>
        </w:tc>
        <w:tc>
          <w:tcPr>
            <w:tcW w:w="729" w:type="dxa"/>
            <w:tcBorders>
              <w:top w:val="nil"/>
              <w:left w:val="nil"/>
              <w:bottom w:val="single" w:sz="8" w:space="0" w:color="auto"/>
              <w:right w:val="single" w:sz="8" w:space="0" w:color="auto"/>
            </w:tcBorders>
            <w:shd w:val="clear" w:color="000000" w:fill="FFFFFF"/>
            <w:noWrap/>
            <w:vAlign w:val="center"/>
            <w:hideMark/>
          </w:tcPr>
          <w:p w:rsidR="00BE766B" w:rsidRPr="00A375D9" w:rsidP="00D95CF3">
            <w:pPr>
              <w:spacing w:after="0"/>
              <w:ind w:left="-255" w:firstLine="284"/>
              <w:rPr>
                <w:rFonts w:ascii="Verdana" w:hAnsi="Verdana" w:cs="Arial"/>
                <w:color w:val="183850" w:themeColor="text1"/>
                <w:sz w:val="20"/>
                <w:szCs w:val="20"/>
              </w:rPr>
            </w:pPr>
            <w:r w:rsidRPr="00A375D9">
              <w:rPr>
                <w:rFonts w:ascii="Verdana" w:hAnsi="Verdana" w:cs="Arial"/>
                <w:color w:val="183850" w:themeColor="text1"/>
                <w:sz w:val="20"/>
                <w:szCs w:val="20"/>
              </w:rPr>
              <w:t>413</w:t>
            </w:r>
          </w:p>
        </w:tc>
      </w:tr>
      <w:tr w:rsidTr="00DF0B94">
        <w:tblPrEx>
          <w:tblW w:w="6804" w:type="dxa"/>
          <w:tblInd w:w="-10" w:type="dxa"/>
          <w:tblLook w:val="04A0"/>
        </w:tblPrEx>
        <w:trPr>
          <w:trHeight w:val="270"/>
        </w:trPr>
        <w:tc>
          <w:tcPr>
            <w:tcW w:w="6075" w:type="dxa"/>
            <w:tcBorders>
              <w:top w:val="nil"/>
              <w:left w:val="single" w:sz="8" w:space="0" w:color="auto"/>
              <w:bottom w:val="single" w:sz="8" w:space="0" w:color="auto"/>
              <w:right w:val="single" w:sz="8" w:space="0" w:color="auto"/>
            </w:tcBorders>
            <w:shd w:val="clear" w:color="000000" w:fill="FFFFFF"/>
            <w:noWrap/>
            <w:vAlign w:val="center"/>
            <w:hideMark/>
          </w:tcPr>
          <w:p w:rsidR="00BE766B" w:rsidRPr="00A375D9" w:rsidP="00D95CF3">
            <w:pPr>
              <w:spacing w:after="0"/>
              <w:ind w:left="-255" w:firstLine="284"/>
              <w:rPr>
                <w:rFonts w:ascii="Verdana" w:hAnsi="Verdana" w:cs="Arial"/>
                <w:color w:val="183850" w:themeColor="text1"/>
                <w:sz w:val="20"/>
                <w:szCs w:val="20"/>
              </w:rPr>
            </w:pPr>
            <w:r w:rsidRPr="00A375D9">
              <w:rPr>
                <w:rFonts w:ascii="Verdana" w:hAnsi="Verdana" w:cs="Arial"/>
                <w:color w:val="183850" w:themeColor="text1"/>
                <w:sz w:val="20"/>
                <w:szCs w:val="20"/>
              </w:rPr>
              <w:t>Total company proposals in the period</w:t>
            </w:r>
          </w:p>
        </w:tc>
        <w:tc>
          <w:tcPr>
            <w:tcW w:w="729" w:type="dxa"/>
            <w:tcBorders>
              <w:top w:val="nil"/>
              <w:left w:val="nil"/>
              <w:bottom w:val="single" w:sz="8" w:space="0" w:color="auto"/>
              <w:right w:val="single" w:sz="8" w:space="0" w:color="auto"/>
            </w:tcBorders>
            <w:shd w:val="clear" w:color="000000" w:fill="FFFFFF"/>
            <w:noWrap/>
            <w:vAlign w:val="center"/>
            <w:hideMark/>
          </w:tcPr>
          <w:p w:rsidR="00BE766B" w:rsidRPr="00A375D9" w:rsidP="00D95CF3">
            <w:pPr>
              <w:spacing w:after="0"/>
              <w:ind w:left="-255" w:firstLine="284"/>
              <w:rPr>
                <w:rFonts w:ascii="Verdana" w:hAnsi="Verdana" w:cs="Arial"/>
                <w:color w:val="183850" w:themeColor="text1"/>
                <w:sz w:val="20"/>
                <w:szCs w:val="20"/>
              </w:rPr>
            </w:pPr>
            <w:r w:rsidRPr="00A375D9">
              <w:rPr>
                <w:rFonts w:ascii="Verdana" w:hAnsi="Verdana" w:cs="Arial"/>
                <w:color w:val="183850" w:themeColor="text1"/>
                <w:sz w:val="20"/>
                <w:szCs w:val="20"/>
              </w:rPr>
              <w:t>375</w:t>
            </w:r>
          </w:p>
        </w:tc>
      </w:tr>
      <w:tr w:rsidTr="00DF0B94">
        <w:tblPrEx>
          <w:tblW w:w="6804" w:type="dxa"/>
          <w:tblInd w:w="-10" w:type="dxa"/>
          <w:tblLook w:val="04A0"/>
        </w:tblPrEx>
        <w:trPr>
          <w:trHeight w:val="270"/>
        </w:trPr>
        <w:tc>
          <w:tcPr>
            <w:tcW w:w="6075" w:type="dxa"/>
            <w:tcBorders>
              <w:top w:val="nil"/>
              <w:left w:val="single" w:sz="8" w:space="0" w:color="auto"/>
              <w:bottom w:val="single" w:sz="8" w:space="0" w:color="auto"/>
              <w:right w:val="single" w:sz="8" w:space="0" w:color="auto"/>
            </w:tcBorders>
            <w:shd w:val="clear" w:color="000000" w:fill="FFFFFF"/>
            <w:noWrap/>
            <w:vAlign w:val="center"/>
            <w:hideMark/>
          </w:tcPr>
          <w:p w:rsidR="00BE766B" w:rsidRPr="00A375D9" w:rsidP="00D95CF3">
            <w:pPr>
              <w:spacing w:after="0"/>
              <w:ind w:left="-255" w:firstLine="284"/>
              <w:rPr>
                <w:rFonts w:ascii="Verdana" w:hAnsi="Verdana" w:cs="Arial"/>
                <w:color w:val="183850" w:themeColor="text1"/>
                <w:sz w:val="20"/>
                <w:szCs w:val="20"/>
              </w:rPr>
            </w:pPr>
            <w:r w:rsidRPr="00A375D9">
              <w:rPr>
                <w:rFonts w:ascii="Verdana" w:hAnsi="Verdana" w:cs="Arial"/>
                <w:color w:val="183850" w:themeColor="text1"/>
                <w:sz w:val="20"/>
                <w:szCs w:val="20"/>
              </w:rPr>
              <w:t>Total shareholder proposals in the period</w:t>
            </w:r>
          </w:p>
        </w:tc>
        <w:tc>
          <w:tcPr>
            <w:tcW w:w="729" w:type="dxa"/>
            <w:tcBorders>
              <w:top w:val="nil"/>
              <w:left w:val="nil"/>
              <w:bottom w:val="single" w:sz="8" w:space="0" w:color="auto"/>
              <w:right w:val="single" w:sz="8" w:space="0" w:color="auto"/>
            </w:tcBorders>
            <w:shd w:val="clear" w:color="000000" w:fill="FFFFFF"/>
            <w:noWrap/>
            <w:vAlign w:val="center"/>
            <w:hideMark/>
          </w:tcPr>
          <w:p w:rsidR="00BE766B" w:rsidRPr="00A375D9" w:rsidP="00D95CF3">
            <w:pPr>
              <w:spacing w:after="0"/>
              <w:ind w:left="-255" w:firstLine="284"/>
              <w:rPr>
                <w:rFonts w:ascii="Verdana" w:hAnsi="Verdana" w:cs="Arial"/>
                <w:color w:val="183850" w:themeColor="text1"/>
                <w:sz w:val="20"/>
                <w:szCs w:val="20"/>
              </w:rPr>
            </w:pPr>
            <w:r w:rsidRPr="00A375D9">
              <w:rPr>
                <w:rFonts w:ascii="Verdana" w:hAnsi="Verdana" w:cs="Arial"/>
                <w:color w:val="183850" w:themeColor="text1"/>
                <w:sz w:val="20"/>
                <w:szCs w:val="20"/>
              </w:rPr>
              <w:t>38</w:t>
            </w:r>
          </w:p>
        </w:tc>
      </w:tr>
    </w:tbl>
    <w:p w:rsidR="00DF0B94" w:rsidP="00D95CF3">
      <w:pPr>
        <w:autoSpaceDE w:val="0"/>
        <w:autoSpaceDN w:val="0"/>
        <w:adjustRightInd w:val="0"/>
        <w:spacing w:after="0"/>
        <w:rPr>
          <w:rFonts w:ascii="Verdana" w:hAnsi="Verdana"/>
          <w:color w:val="183850" w:themeColor="text1"/>
          <w:u w:val="single"/>
        </w:rPr>
      </w:pPr>
    </w:p>
    <w:p w:rsidR="00BE766B" w:rsidP="00D95CF3">
      <w:pPr>
        <w:autoSpaceDE w:val="0"/>
        <w:autoSpaceDN w:val="0"/>
        <w:adjustRightInd w:val="0"/>
        <w:spacing w:after="0"/>
        <w:rPr>
          <w:rFonts w:ascii="Verdana" w:hAnsi="Verdana" w:cs="Arial"/>
          <w:bCs/>
          <w:color w:val="183850" w:themeColor="text1"/>
          <w:sz w:val="20"/>
          <w:szCs w:val="20"/>
        </w:rPr>
      </w:pPr>
      <w:r w:rsidRPr="00DF0B94">
        <w:rPr>
          <w:rFonts w:ascii="Verdana" w:hAnsi="Verdana" w:cs="Arial"/>
          <w:bCs/>
          <w:color w:val="183850" w:themeColor="text1"/>
          <w:sz w:val="20"/>
          <w:szCs w:val="20"/>
        </w:rPr>
        <w:t>Company Proposals</w:t>
      </w:r>
    </w:p>
    <w:p w:rsidR="00DF0B94" w:rsidRPr="00DF0B94" w:rsidP="00D95CF3">
      <w:pPr>
        <w:autoSpaceDE w:val="0"/>
        <w:autoSpaceDN w:val="0"/>
        <w:adjustRightInd w:val="0"/>
        <w:spacing w:after="0"/>
        <w:rPr>
          <w:rFonts w:ascii="Verdana" w:hAnsi="Verdana" w:cs="Arial"/>
          <w:bCs/>
          <w:color w:val="183850" w:themeColor="text1"/>
          <w:sz w:val="20"/>
          <w:szCs w:val="20"/>
        </w:rPr>
      </w:pPr>
    </w:p>
    <w:tbl>
      <w:tblPr>
        <w:tblW w:w="7649" w:type="dxa"/>
        <w:tblInd w:w="-5" w:type="dxa"/>
        <w:tblLook w:val="04A0"/>
      </w:tblPr>
      <w:tblGrid>
        <w:gridCol w:w="6096"/>
        <w:gridCol w:w="850"/>
        <w:gridCol w:w="703"/>
      </w:tblGrid>
      <w:tr w:rsidTr="00DF0B94">
        <w:tblPrEx>
          <w:tblW w:w="7649" w:type="dxa"/>
          <w:tblInd w:w="-5" w:type="dxa"/>
          <w:tblLook w:val="04A0"/>
        </w:tblPrEx>
        <w:trPr>
          <w:trHeight w:val="270"/>
        </w:trPr>
        <w:tc>
          <w:tcPr>
            <w:tcW w:w="6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6B" w:rsidRPr="00A375D9" w:rsidP="00D95CF3">
            <w:pPr>
              <w:spacing w:after="0"/>
              <w:ind w:left="-668" w:firstLine="668"/>
              <w:rPr>
                <w:rFonts w:ascii="Verdana" w:hAnsi="Verdana" w:cs="Arial"/>
                <w:color w:val="183850" w:themeColor="text1"/>
                <w:sz w:val="20"/>
                <w:szCs w:val="20"/>
              </w:rPr>
            </w:pPr>
            <w:r w:rsidRPr="00A375D9">
              <w:rPr>
                <w:rFonts w:ascii="Verdana" w:hAnsi="Verdana" w:cs="Arial"/>
                <w:color w:val="183850" w:themeColor="text1"/>
                <w:sz w:val="20"/>
                <w:szCs w:val="20"/>
              </w:rPr>
              <w:t>Voting was in line with Management recommendations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766B" w:rsidRPr="00A375D9" w:rsidP="00D95CF3">
            <w:pPr>
              <w:spacing w:after="0"/>
              <w:rPr>
                <w:rFonts w:ascii="Verdana" w:hAnsi="Verdana" w:cs="Arial"/>
                <w:color w:val="183850" w:themeColor="text1"/>
                <w:sz w:val="20"/>
                <w:szCs w:val="20"/>
              </w:rPr>
            </w:pPr>
            <w:r w:rsidRPr="00A375D9">
              <w:rPr>
                <w:rFonts w:ascii="Verdana" w:hAnsi="Verdana" w:cs="Arial"/>
                <w:color w:val="183850" w:themeColor="text1"/>
                <w:sz w:val="20"/>
                <w:szCs w:val="20"/>
              </w:rPr>
              <w:t>339</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766B" w:rsidRPr="00A375D9" w:rsidP="00D95CF3">
            <w:pPr>
              <w:spacing w:after="0"/>
              <w:rPr>
                <w:rFonts w:ascii="Verdana" w:hAnsi="Verdana" w:cs="Arial"/>
                <w:color w:val="183850" w:themeColor="text1"/>
                <w:sz w:val="20"/>
                <w:szCs w:val="20"/>
              </w:rPr>
            </w:pPr>
            <w:r w:rsidRPr="00A375D9">
              <w:rPr>
                <w:rFonts w:ascii="Verdana" w:hAnsi="Verdana" w:cs="Arial"/>
                <w:color w:val="183850" w:themeColor="text1"/>
                <w:sz w:val="20"/>
                <w:szCs w:val="20"/>
              </w:rPr>
              <w:t>90%</w:t>
            </w:r>
          </w:p>
        </w:tc>
      </w:tr>
      <w:tr w:rsidTr="00DF0B94">
        <w:tblPrEx>
          <w:tblW w:w="7649" w:type="dxa"/>
          <w:tblInd w:w="-5" w:type="dxa"/>
          <w:tblLook w:val="04A0"/>
        </w:tblPrEx>
        <w:trPr>
          <w:trHeight w:val="270"/>
        </w:trPr>
        <w:tc>
          <w:tcPr>
            <w:tcW w:w="6096"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BE766B" w:rsidRPr="00A375D9" w:rsidP="00D95CF3">
            <w:pPr>
              <w:spacing w:after="0"/>
              <w:rPr>
                <w:rFonts w:ascii="Verdana" w:hAnsi="Verdana" w:cs="Arial"/>
                <w:color w:val="183850" w:themeColor="text1"/>
                <w:sz w:val="20"/>
                <w:szCs w:val="20"/>
              </w:rPr>
            </w:pPr>
            <w:r w:rsidRPr="00A375D9">
              <w:rPr>
                <w:rFonts w:ascii="Verdana" w:hAnsi="Verdana" w:cs="Arial"/>
                <w:color w:val="183850" w:themeColor="text1"/>
                <w:sz w:val="20"/>
                <w:szCs w:val="20"/>
              </w:rPr>
              <w:t>Voting was against Management recommendations</w:t>
            </w:r>
          </w:p>
        </w:tc>
        <w:tc>
          <w:tcPr>
            <w:tcW w:w="850" w:type="dxa"/>
            <w:tcBorders>
              <w:top w:val="single" w:sz="4" w:space="0" w:color="auto"/>
              <w:left w:val="nil"/>
              <w:bottom w:val="single" w:sz="8" w:space="0" w:color="auto"/>
              <w:right w:val="single" w:sz="8" w:space="0" w:color="auto"/>
            </w:tcBorders>
            <w:shd w:val="clear" w:color="000000" w:fill="FFFFFF"/>
            <w:noWrap/>
            <w:vAlign w:val="center"/>
            <w:hideMark/>
          </w:tcPr>
          <w:p w:rsidR="00BE766B" w:rsidRPr="00A375D9" w:rsidP="00D95CF3">
            <w:pPr>
              <w:spacing w:after="0"/>
              <w:rPr>
                <w:rFonts w:ascii="Verdana" w:hAnsi="Verdana" w:cs="Arial"/>
                <w:color w:val="183850" w:themeColor="text1"/>
                <w:sz w:val="20"/>
                <w:szCs w:val="20"/>
              </w:rPr>
            </w:pPr>
            <w:r w:rsidRPr="00A375D9">
              <w:rPr>
                <w:rFonts w:ascii="Verdana" w:hAnsi="Verdana" w:cs="Arial"/>
                <w:color w:val="183850" w:themeColor="text1"/>
                <w:sz w:val="20"/>
                <w:szCs w:val="20"/>
              </w:rPr>
              <w:t>36</w:t>
            </w:r>
          </w:p>
        </w:tc>
        <w:tc>
          <w:tcPr>
            <w:tcW w:w="703" w:type="dxa"/>
            <w:tcBorders>
              <w:top w:val="single" w:sz="4" w:space="0" w:color="auto"/>
              <w:left w:val="nil"/>
              <w:bottom w:val="single" w:sz="8" w:space="0" w:color="auto"/>
              <w:right w:val="single" w:sz="8" w:space="0" w:color="auto"/>
            </w:tcBorders>
            <w:shd w:val="clear" w:color="000000" w:fill="FFFFFF"/>
            <w:vAlign w:val="center"/>
            <w:hideMark/>
          </w:tcPr>
          <w:p w:rsidR="00BE766B" w:rsidRPr="00A375D9" w:rsidP="00D95CF3">
            <w:pPr>
              <w:spacing w:after="0"/>
              <w:rPr>
                <w:rFonts w:ascii="Verdana" w:hAnsi="Verdana" w:cs="Arial"/>
                <w:color w:val="183850" w:themeColor="text1"/>
                <w:sz w:val="20"/>
                <w:szCs w:val="20"/>
              </w:rPr>
            </w:pPr>
            <w:r w:rsidRPr="00A375D9">
              <w:rPr>
                <w:rFonts w:ascii="Verdana" w:hAnsi="Verdana" w:cs="Arial"/>
                <w:color w:val="183850" w:themeColor="text1"/>
                <w:sz w:val="20"/>
                <w:szCs w:val="20"/>
              </w:rPr>
              <w:t>10%</w:t>
            </w:r>
          </w:p>
        </w:tc>
      </w:tr>
    </w:tbl>
    <w:p w:rsidR="00DF0B94" w:rsidP="00D95CF3">
      <w:pPr>
        <w:autoSpaceDE w:val="0"/>
        <w:autoSpaceDN w:val="0"/>
        <w:adjustRightInd w:val="0"/>
        <w:spacing w:after="0"/>
        <w:rPr>
          <w:rFonts w:ascii="Verdana" w:hAnsi="Verdana"/>
          <w:color w:val="183850" w:themeColor="text1"/>
          <w:u w:val="single"/>
        </w:rPr>
      </w:pPr>
      <w:bookmarkStart w:id="1" w:name="_Hlk505955844"/>
    </w:p>
    <w:p w:rsidR="00BE766B" w:rsidP="00D95CF3">
      <w:pPr>
        <w:autoSpaceDE w:val="0"/>
        <w:autoSpaceDN w:val="0"/>
        <w:adjustRightInd w:val="0"/>
        <w:spacing w:after="0"/>
        <w:rPr>
          <w:rFonts w:ascii="Verdana" w:hAnsi="Verdana" w:cs="Arial"/>
          <w:bCs/>
          <w:color w:val="183850" w:themeColor="text1"/>
          <w:sz w:val="20"/>
          <w:szCs w:val="20"/>
        </w:rPr>
      </w:pPr>
      <w:r w:rsidRPr="00DF0B94">
        <w:rPr>
          <w:rFonts w:ascii="Verdana" w:hAnsi="Verdana" w:cs="Arial"/>
          <w:bCs/>
          <w:color w:val="183850" w:themeColor="text1"/>
          <w:sz w:val="20"/>
          <w:szCs w:val="20"/>
        </w:rPr>
        <w:t>Shareholder Proposals</w:t>
      </w:r>
    </w:p>
    <w:p w:rsidR="00DF0B94" w:rsidRPr="00DF0B94" w:rsidP="00D95CF3">
      <w:pPr>
        <w:autoSpaceDE w:val="0"/>
        <w:autoSpaceDN w:val="0"/>
        <w:adjustRightInd w:val="0"/>
        <w:spacing w:after="0"/>
        <w:rPr>
          <w:rFonts w:ascii="Verdana" w:hAnsi="Verdana" w:cs="Arial"/>
          <w:bCs/>
          <w:color w:val="183850" w:themeColor="text1"/>
          <w:sz w:val="20"/>
          <w:szCs w:val="20"/>
        </w:rPr>
      </w:pPr>
    </w:p>
    <w:tbl>
      <w:tblPr>
        <w:tblW w:w="7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850"/>
        <w:gridCol w:w="715"/>
      </w:tblGrid>
      <w:tr w:rsidTr="00DF0B94">
        <w:tblPrEx>
          <w:tblW w:w="7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70"/>
        </w:trPr>
        <w:tc>
          <w:tcPr>
            <w:tcW w:w="6096" w:type="dxa"/>
            <w:shd w:val="clear" w:color="000000" w:fill="FFFFFF"/>
            <w:noWrap/>
            <w:vAlign w:val="center"/>
            <w:hideMark/>
          </w:tcPr>
          <w:p w:rsidR="00BE766B" w:rsidRPr="00A375D9" w:rsidP="00D95CF3">
            <w:pPr>
              <w:spacing w:after="0"/>
              <w:ind w:left="-255" w:firstLine="292"/>
              <w:rPr>
                <w:rFonts w:ascii="Verdana" w:hAnsi="Verdana" w:cs="Arial"/>
                <w:color w:val="183850" w:themeColor="text1"/>
                <w:sz w:val="20"/>
                <w:szCs w:val="20"/>
              </w:rPr>
            </w:pPr>
            <w:bookmarkEnd w:id="1"/>
            <w:r w:rsidRPr="00A375D9">
              <w:rPr>
                <w:rFonts w:ascii="Verdana" w:hAnsi="Verdana" w:cs="Arial"/>
                <w:color w:val="183850" w:themeColor="text1"/>
                <w:sz w:val="20"/>
                <w:szCs w:val="20"/>
              </w:rPr>
              <w:t>Shareholder proposals supported by LPP I</w:t>
            </w:r>
          </w:p>
        </w:tc>
        <w:tc>
          <w:tcPr>
            <w:tcW w:w="850" w:type="dxa"/>
            <w:shd w:val="clear" w:color="000000" w:fill="FFFFFF"/>
            <w:noWrap/>
            <w:vAlign w:val="center"/>
            <w:hideMark/>
          </w:tcPr>
          <w:p w:rsidR="00BE766B" w:rsidRPr="00A375D9" w:rsidP="00D95CF3">
            <w:pPr>
              <w:spacing w:after="0"/>
              <w:ind w:left="-668" w:firstLine="697"/>
              <w:rPr>
                <w:rFonts w:ascii="Verdana" w:hAnsi="Verdana" w:cs="Arial"/>
                <w:color w:val="183850" w:themeColor="text1"/>
                <w:sz w:val="20"/>
                <w:szCs w:val="20"/>
              </w:rPr>
            </w:pPr>
            <w:r w:rsidRPr="00A375D9">
              <w:rPr>
                <w:rFonts w:ascii="Verdana" w:hAnsi="Verdana" w:cs="Arial"/>
                <w:color w:val="183850" w:themeColor="text1"/>
                <w:sz w:val="20"/>
                <w:szCs w:val="20"/>
              </w:rPr>
              <w:t>17</w:t>
            </w:r>
          </w:p>
        </w:tc>
        <w:tc>
          <w:tcPr>
            <w:tcW w:w="431" w:type="dxa"/>
            <w:shd w:val="clear" w:color="000000" w:fill="FFFFFF"/>
            <w:vAlign w:val="center"/>
            <w:hideMark/>
          </w:tcPr>
          <w:p w:rsidR="00BE766B" w:rsidRPr="00A375D9" w:rsidP="00D95CF3">
            <w:pPr>
              <w:spacing w:after="0"/>
              <w:ind w:left="-668" w:firstLine="697"/>
              <w:rPr>
                <w:rFonts w:ascii="Verdana" w:hAnsi="Verdana" w:cs="Arial"/>
                <w:color w:val="183850" w:themeColor="text1"/>
                <w:sz w:val="20"/>
                <w:szCs w:val="20"/>
              </w:rPr>
            </w:pPr>
            <w:r w:rsidRPr="00A375D9">
              <w:rPr>
                <w:rFonts w:ascii="Verdana" w:hAnsi="Verdana" w:cs="Arial"/>
                <w:color w:val="183850" w:themeColor="text1"/>
                <w:sz w:val="20"/>
                <w:szCs w:val="20"/>
              </w:rPr>
              <w:t>45%</w:t>
            </w:r>
          </w:p>
        </w:tc>
      </w:tr>
      <w:tr w:rsidTr="00DF0B94">
        <w:tblPrEx>
          <w:tblW w:w="7377" w:type="dxa"/>
          <w:tblInd w:w="-5" w:type="dxa"/>
          <w:tblLook w:val="04A0"/>
        </w:tblPrEx>
        <w:trPr>
          <w:trHeight w:val="270"/>
        </w:trPr>
        <w:tc>
          <w:tcPr>
            <w:tcW w:w="6096" w:type="dxa"/>
            <w:shd w:val="clear" w:color="000000" w:fill="FFFFFF"/>
            <w:noWrap/>
            <w:vAlign w:val="center"/>
            <w:hideMark/>
          </w:tcPr>
          <w:p w:rsidR="00BE766B" w:rsidRPr="00A375D9" w:rsidP="00D95CF3">
            <w:pPr>
              <w:spacing w:after="0"/>
              <w:ind w:left="-255" w:firstLine="292"/>
              <w:rPr>
                <w:rFonts w:ascii="Verdana" w:hAnsi="Verdana" w:cs="Arial"/>
                <w:color w:val="183850" w:themeColor="text1"/>
                <w:sz w:val="20"/>
                <w:szCs w:val="20"/>
              </w:rPr>
            </w:pPr>
            <w:r>
              <w:rPr>
                <w:rFonts w:ascii="Verdana" w:hAnsi="Verdana" w:cs="Arial"/>
                <w:color w:val="183850" w:themeColor="text1"/>
                <w:sz w:val="20"/>
                <w:szCs w:val="20"/>
              </w:rPr>
              <w:t>Voting</w:t>
            </w:r>
            <w:r w:rsidRPr="00A375D9">
              <w:rPr>
                <w:rFonts w:ascii="Verdana" w:hAnsi="Verdana" w:cs="Arial"/>
                <w:color w:val="183850" w:themeColor="text1"/>
                <w:sz w:val="20"/>
                <w:szCs w:val="20"/>
              </w:rPr>
              <w:t xml:space="preserve"> was against shareholder</w:t>
            </w:r>
            <w:r>
              <w:rPr>
                <w:rFonts w:ascii="Verdana" w:hAnsi="Verdana" w:cs="Arial"/>
                <w:color w:val="183850" w:themeColor="text1"/>
                <w:sz w:val="20"/>
                <w:szCs w:val="20"/>
              </w:rPr>
              <w:t xml:space="preserve"> proposal</w:t>
            </w:r>
          </w:p>
        </w:tc>
        <w:tc>
          <w:tcPr>
            <w:tcW w:w="850" w:type="dxa"/>
            <w:shd w:val="clear" w:color="000000" w:fill="FFFFFF"/>
            <w:noWrap/>
            <w:vAlign w:val="center"/>
            <w:hideMark/>
          </w:tcPr>
          <w:p w:rsidR="00BE766B" w:rsidRPr="00A375D9" w:rsidP="00D95CF3">
            <w:pPr>
              <w:spacing w:after="0"/>
              <w:ind w:left="-668" w:firstLine="697"/>
              <w:rPr>
                <w:rFonts w:ascii="Verdana" w:hAnsi="Verdana" w:cs="Arial"/>
                <w:color w:val="183850" w:themeColor="text1"/>
                <w:sz w:val="20"/>
                <w:szCs w:val="20"/>
              </w:rPr>
            </w:pPr>
            <w:r w:rsidRPr="00A375D9">
              <w:rPr>
                <w:rFonts w:ascii="Verdana" w:hAnsi="Verdana" w:cs="Arial"/>
                <w:color w:val="183850" w:themeColor="text1"/>
                <w:sz w:val="20"/>
                <w:szCs w:val="20"/>
              </w:rPr>
              <w:t>21</w:t>
            </w:r>
          </w:p>
        </w:tc>
        <w:tc>
          <w:tcPr>
            <w:tcW w:w="431" w:type="dxa"/>
            <w:shd w:val="clear" w:color="auto" w:fill="auto"/>
            <w:noWrap/>
            <w:hideMark/>
          </w:tcPr>
          <w:p w:rsidR="00BE766B" w:rsidRPr="00DF0B94" w:rsidP="00D95CF3">
            <w:pPr>
              <w:spacing w:after="0"/>
              <w:ind w:left="-668" w:firstLine="697"/>
              <w:rPr>
                <w:rFonts w:ascii="Verdana" w:hAnsi="Verdana" w:cs="Arial"/>
                <w:color w:val="183850" w:themeColor="text1"/>
                <w:sz w:val="20"/>
                <w:szCs w:val="20"/>
              </w:rPr>
            </w:pPr>
            <w:r w:rsidRPr="00DF0B94">
              <w:rPr>
                <w:rFonts w:ascii="Verdana" w:hAnsi="Verdana" w:cs="Arial"/>
                <w:color w:val="183850" w:themeColor="text1"/>
                <w:sz w:val="20"/>
                <w:szCs w:val="20"/>
              </w:rPr>
              <w:t>55%</w:t>
            </w:r>
          </w:p>
        </w:tc>
      </w:tr>
    </w:tbl>
    <w:p w:rsidR="00BE766B" w:rsidP="00EA4636">
      <w:pPr>
        <w:pStyle w:val="ListParagraph"/>
        <w:spacing w:after="0"/>
        <w:ind w:left="0"/>
        <w:rPr>
          <w:rFonts w:ascii="Verdana" w:hAnsi="Verdana"/>
          <w:color w:val="183850" w:themeColor="text1"/>
          <w:u w:val="single"/>
        </w:rPr>
      </w:pPr>
    </w:p>
    <w:p w:rsidR="00EA4636" w:rsidP="00EA4636">
      <w:pPr>
        <w:autoSpaceDE w:val="0"/>
        <w:autoSpaceDN w:val="0"/>
        <w:adjustRightInd w:val="0"/>
        <w:spacing w:after="0"/>
        <w:rPr>
          <w:rFonts w:ascii="Verdana" w:hAnsi="Verdana" w:cs="Arial"/>
          <w:bCs/>
          <w:color w:val="183850" w:themeColor="text1"/>
          <w:sz w:val="20"/>
          <w:szCs w:val="20"/>
        </w:rPr>
      </w:pPr>
      <w:r>
        <w:rPr>
          <w:rFonts w:ascii="Verdana" w:hAnsi="Verdana"/>
          <w:color w:val="183850" w:themeColor="text1"/>
          <w:sz w:val="20"/>
          <w:szCs w:val="20"/>
        </w:rPr>
        <w:t>The table below summarises resolutions by type and indicates the subject of sh</w:t>
      </w:r>
      <w:r>
        <w:rPr>
          <w:rFonts w:ascii="Verdana" w:hAnsi="Verdana"/>
          <w:color w:val="183850" w:themeColor="text1"/>
          <w:sz w:val="20"/>
          <w:szCs w:val="20"/>
        </w:rPr>
        <w:t xml:space="preserve">areholder </w:t>
      </w:r>
      <w:r w:rsidRPr="00EA4636">
        <w:rPr>
          <w:rFonts w:ascii="Verdana" w:hAnsi="Verdana" w:cs="Arial"/>
          <w:bCs/>
          <w:color w:val="183850" w:themeColor="text1"/>
          <w:sz w:val="20"/>
          <w:szCs w:val="20"/>
        </w:rPr>
        <w:t>resolutions seen in Q4</w:t>
      </w:r>
      <w:r w:rsidRPr="00EA4636">
        <w:rPr>
          <w:rFonts w:ascii="Verdana" w:hAnsi="Verdana" w:cs="Arial"/>
          <w:bCs/>
          <w:color w:val="183850" w:themeColor="text1"/>
          <w:sz w:val="20"/>
          <w:szCs w:val="20"/>
        </w:rPr>
        <w:t>.</w:t>
      </w:r>
      <w:r>
        <w:rPr>
          <w:rFonts w:ascii="Verdana" w:hAnsi="Verdana" w:cs="Arial"/>
          <w:bCs/>
          <w:color w:val="183850" w:themeColor="text1"/>
          <w:sz w:val="20"/>
          <w:szCs w:val="20"/>
        </w:rPr>
        <w:t xml:space="preserve"> </w:t>
      </w:r>
    </w:p>
    <w:p w:rsidR="00EA4636" w:rsidP="00EA4636">
      <w:pPr>
        <w:autoSpaceDE w:val="0"/>
        <w:autoSpaceDN w:val="0"/>
        <w:adjustRightInd w:val="0"/>
        <w:spacing w:after="0"/>
        <w:rPr>
          <w:rFonts w:ascii="Verdana" w:hAnsi="Verdana" w:cs="Arial"/>
          <w:bCs/>
          <w:color w:val="183850" w:themeColor="text1"/>
          <w:sz w:val="20"/>
          <w:szCs w:val="20"/>
        </w:rPr>
      </w:pPr>
    </w:p>
    <w:tbl>
      <w:tblPr>
        <w:tblW w:w="8217" w:type="dxa"/>
        <w:tblCellMar>
          <w:left w:w="0" w:type="dxa"/>
          <w:right w:w="0" w:type="dxa"/>
        </w:tblCellMar>
        <w:tblLook w:val="04A0"/>
      </w:tblPr>
      <w:tblGrid>
        <w:gridCol w:w="3264"/>
        <w:gridCol w:w="1142"/>
        <w:gridCol w:w="3811"/>
      </w:tblGrid>
      <w:tr w:rsidTr="00C63141">
        <w:tblPrEx>
          <w:tblW w:w="8217" w:type="dxa"/>
          <w:tblCellMar>
            <w:left w:w="0" w:type="dxa"/>
            <w:right w:w="0" w:type="dxa"/>
          </w:tblCellMar>
          <w:tblLook w:val="04A0"/>
        </w:tblPrEx>
        <w:trPr>
          <w:trHeight w:val="270"/>
        </w:trPr>
        <w:tc>
          <w:tcPr>
            <w:tcW w:w="3264" w:type="dxa"/>
            <w:tcBorders>
              <w:top w:val="single" w:sz="4" w:space="0" w:color="auto"/>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sidRPr="00C63141">
              <w:rPr>
                <w:rFonts w:ascii="Verdana" w:hAnsi="Verdana"/>
                <w:color w:val="183850" w:themeColor="text1"/>
                <w:sz w:val="20"/>
                <w:szCs w:val="20"/>
              </w:rPr>
              <w:t>Resolutions by Type</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Proposals</w:t>
            </w:r>
          </w:p>
        </w:tc>
        <w:tc>
          <w:tcPr>
            <w:tcW w:w="3811" w:type="dxa"/>
            <w:tcBorders>
              <w:left w:val="single" w:sz="4" w:space="0" w:color="auto"/>
            </w:tcBorders>
          </w:tcPr>
          <w:p w:rsidR="00C63141" w:rsidRPr="00C63141" w:rsidP="00C63141">
            <w:pPr>
              <w:autoSpaceDE w:val="0"/>
              <w:autoSpaceDN w:val="0"/>
              <w:adjustRightInd w:val="0"/>
              <w:spacing w:after="0"/>
              <w:rPr>
                <w:rFonts w:ascii="Verdana" w:hAnsi="Verdana"/>
                <w:color w:val="183850" w:themeColor="text1"/>
                <w:sz w:val="20"/>
                <w:szCs w:val="20"/>
              </w:rPr>
            </w:pPr>
          </w:p>
        </w:tc>
      </w:tr>
      <w:tr w:rsidTr="00C63141">
        <w:tblPrEx>
          <w:tblW w:w="8217" w:type="dxa"/>
          <w:tblCellMar>
            <w:left w:w="0" w:type="dxa"/>
            <w:right w:w="0" w:type="dxa"/>
          </w:tblCellMar>
          <w:tblLook w:val="04A0"/>
        </w:tblPrEx>
        <w:trPr>
          <w:trHeight w:val="270"/>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Pr>
                <w:rFonts w:ascii="Verdana" w:hAnsi="Verdana"/>
                <w:color w:val="183850" w:themeColor="text1"/>
                <w:sz w:val="20"/>
                <w:szCs w:val="20"/>
              </w:rPr>
              <w:t xml:space="preserve">M - </w:t>
            </w:r>
            <w:r w:rsidRPr="00C63141">
              <w:rPr>
                <w:rFonts w:ascii="Verdana" w:hAnsi="Verdana"/>
                <w:color w:val="183850" w:themeColor="text1"/>
                <w:sz w:val="20"/>
                <w:szCs w:val="20"/>
              </w:rPr>
              <w:t>Antitakeover Related</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5</w:t>
            </w:r>
          </w:p>
        </w:tc>
        <w:tc>
          <w:tcPr>
            <w:tcW w:w="3811" w:type="dxa"/>
            <w:tcBorders>
              <w:top w:val="nil"/>
              <w:left w:val="single" w:sz="4" w:space="0" w:color="auto"/>
            </w:tcBorders>
          </w:tcPr>
          <w:p w:rsidR="00C63141" w:rsidRPr="00C63141" w:rsidP="00C63141">
            <w:pPr>
              <w:autoSpaceDE w:val="0"/>
              <w:autoSpaceDN w:val="0"/>
              <w:adjustRightInd w:val="0"/>
              <w:spacing w:after="0"/>
              <w:jc w:val="center"/>
              <w:rPr>
                <w:rFonts w:ascii="Verdana" w:hAnsi="Verdana"/>
                <w:color w:val="183850" w:themeColor="text1"/>
                <w:sz w:val="20"/>
                <w:szCs w:val="20"/>
              </w:rPr>
            </w:pPr>
          </w:p>
        </w:tc>
      </w:tr>
      <w:tr w:rsidTr="00C63141">
        <w:tblPrEx>
          <w:tblW w:w="8217" w:type="dxa"/>
          <w:tblCellMar>
            <w:left w:w="0" w:type="dxa"/>
            <w:right w:w="0" w:type="dxa"/>
          </w:tblCellMar>
          <w:tblLook w:val="04A0"/>
        </w:tblPrEx>
        <w:trPr>
          <w:trHeight w:val="270"/>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Pr>
                <w:rFonts w:ascii="Verdana" w:hAnsi="Verdana"/>
                <w:color w:val="183850" w:themeColor="text1"/>
                <w:sz w:val="20"/>
                <w:szCs w:val="20"/>
              </w:rPr>
              <w:t xml:space="preserve">M - </w:t>
            </w:r>
            <w:r w:rsidRPr="00C63141">
              <w:rPr>
                <w:rFonts w:ascii="Verdana" w:hAnsi="Verdana"/>
                <w:color w:val="183850" w:themeColor="text1"/>
                <w:sz w:val="20"/>
                <w:szCs w:val="20"/>
              </w:rPr>
              <w:t>Capitalization</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29</w:t>
            </w:r>
          </w:p>
        </w:tc>
        <w:tc>
          <w:tcPr>
            <w:tcW w:w="3811" w:type="dxa"/>
            <w:tcBorders>
              <w:top w:val="nil"/>
              <w:left w:val="single" w:sz="4" w:space="0" w:color="auto"/>
            </w:tcBorders>
          </w:tcPr>
          <w:p w:rsidR="00C63141" w:rsidRPr="00C63141" w:rsidP="00C63141">
            <w:pPr>
              <w:autoSpaceDE w:val="0"/>
              <w:autoSpaceDN w:val="0"/>
              <w:adjustRightInd w:val="0"/>
              <w:spacing w:after="0"/>
              <w:jc w:val="center"/>
              <w:rPr>
                <w:rFonts w:ascii="Verdana" w:hAnsi="Verdana"/>
                <w:color w:val="183850" w:themeColor="text1"/>
                <w:sz w:val="20"/>
                <w:szCs w:val="20"/>
              </w:rPr>
            </w:pPr>
          </w:p>
        </w:tc>
      </w:tr>
      <w:tr w:rsidTr="00C63141">
        <w:tblPrEx>
          <w:tblW w:w="8217" w:type="dxa"/>
          <w:tblCellMar>
            <w:left w:w="0" w:type="dxa"/>
            <w:right w:w="0" w:type="dxa"/>
          </w:tblCellMar>
          <w:tblLook w:val="04A0"/>
        </w:tblPrEx>
        <w:trPr>
          <w:trHeight w:val="270"/>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Pr>
                <w:rFonts w:ascii="Verdana" w:hAnsi="Verdana"/>
                <w:color w:val="183850" w:themeColor="text1"/>
                <w:sz w:val="20"/>
                <w:szCs w:val="20"/>
              </w:rPr>
              <w:t xml:space="preserve">M - </w:t>
            </w:r>
            <w:r w:rsidRPr="00C63141">
              <w:rPr>
                <w:rFonts w:ascii="Verdana" w:hAnsi="Verdana"/>
                <w:color w:val="183850" w:themeColor="text1"/>
                <w:sz w:val="20"/>
                <w:szCs w:val="20"/>
              </w:rPr>
              <w:t>Director Related</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179</w:t>
            </w:r>
          </w:p>
        </w:tc>
        <w:tc>
          <w:tcPr>
            <w:tcW w:w="3811" w:type="dxa"/>
            <w:tcBorders>
              <w:top w:val="nil"/>
              <w:left w:val="single" w:sz="4" w:space="0" w:color="auto"/>
            </w:tcBorders>
          </w:tcPr>
          <w:p w:rsidR="00C63141" w:rsidRPr="00C63141" w:rsidP="00C63141">
            <w:pPr>
              <w:autoSpaceDE w:val="0"/>
              <w:autoSpaceDN w:val="0"/>
              <w:adjustRightInd w:val="0"/>
              <w:spacing w:after="0"/>
              <w:jc w:val="center"/>
              <w:rPr>
                <w:rFonts w:ascii="Verdana" w:hAnsi="Verdana"/>
                <w:color w:val="183850" w:themeColor="text1"/>
                <w:sz w:val="20"/>
                <w:szCs w:val="20"/>
              </w:rPr>
            </w:pPr>
          </w:p>
        </w:tc>
      </w:tr>
      <w:tr w:rsidTr="00C63141">
        <w:tblPrEx>
          <w:tblW w:w="8217" w:type="dxa"/>
          <w:tblCellMar>
            <w:left w:w="0" w:type="dxa"/>
            <w:right w:w="0" w:type="dxa"/>
          </w:tblCellMar>
          <w:tblLook w:val="04A0"/>
        </w:tblPrEx>
        <w:trPr>
          <w:trHeight w:val="255"/>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Pr>
                <w:rFonts w:ascii="Verdana" w:hAnsi="Verdana"/>
                <w:color w:val="183850" w:themeColor="text1"/>
                <w:sz w:val="20"/>
                <w:szCs w:val="20"/>
              </w:rPr>
              <w:t xml:space="preserve">M - </w:t>
            </w:r>
            <w:r w:rsidRPr="00C63141">
              <w:rPr>
                <w:rFonts w:ascii="Verdana" w:hAnsi="Verdana"/>
                <w:color w:val="183850" w:themeColor="text1"/>
                <w:sz w:val="20"/>
                <w:szCs w:val="20"/>
              </w:rPr>
              <w:t>Non-Salary Compensation</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60</w:t>
            </w:r>
          </w:p>
        </w:tc>
        <w:tc>
          <w:tcPr>
            <w:tcW w:w="3811" w:type="dxa"/>
            <w:tcBorders>
              <w:top w:val="nil"/>
              <w:left w:val="single" w:sz="4" w:space="0" w:color="auto"/>
            </w:tcBorders>
          </w:tcPr>
          <w:p w:rsidR="00C63141" w:rsidRPr="00C63141" w:rsidP="00C63141">
            <w:pPr>
              <w:autoSpaceDE w:val="0"/>
              <w:autoSpaceDN w:val="0"/>
              <w:adjustRightInd w:val="0"/>
              <w:spacing w:after="0"/>
              <w:jc w:val="center"/>
              <w:rPr>
                <w:rFonts w:ascii="Verdana" w:hAnsi="Verdana"/>
                <w:color w:val="183850" w:themeColor="text1"/>
                <w:sz w:val="20"/>
                <w:szCs w:val="20"/>
              </w:rPr>
            </w:pPr>
          </w:p>
        </w:tc>
      </w:tr>
      <w:tr w:rsidTr="00C63141">
        <w:tblPrEx>
          <w:tblW w:w="8217" w:type="dxa"/>
          <w:tblCellMar>
            <w:left w:w="0" w:type="dxa"/>
            <w:right w:w="0" w:type="dxa"/>
          </w:tblCellMar>
          <w:tblLook w:val="04A0"/>
        </w:tblPrEx>
        <w:trPr>
          <w:trHeight w:val="270"/>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Pr>
                <w:rFonts w:ascii="Verdana" w:hAnsi="Verdana"/>
                <w:color w:val="183850" w:themeColor="text1"/>
                <w:sz w:val="20"/>
                <w:szCs w:val="20"/>
              </w:rPr>
              <w:t xml:space="preserve">M - </w:t>
            </w:r>
            <w:r w:rsidRPr="00C63141">
              <w:rPr>
                <w:rFonts w:ascii="Verdana" w:hAnsi="Verdana"/>
                <w:color w:val="183850" w:themeColor="text1"/>
                <w:sz w:val="20"/>
                <w:szCs w:val="20"/>
              </w:rPr>
              <w:t>Reorg. and Mergers</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52</w:t>
            </w:r>
          </w:p>
        </w:tc>
        <w:tc>
          <w:tcPr>
            <w:tcW w:w="3811" w:type="dxa"/>
            <w:tcBorders>
              <w:top w:val="nil"/>
              <w:left w:val="single" w:sz="4" w:space="0" w:color="auto"/>
            </w:tcBorders>
          </w:tcPr>
          <w:p w:rsidR="00C63141" w:rsidRPr="00C63141" w:rsidP="00C63141">
            <w:pPr>
              <w:autoSpaceDE w:val="0"/>
              <w:autoSpaceDN w:val="0"/>
              <w:adjustRightInd w:val="0"/>
              <w:spacing w:after="0"/>
              <w:jc w:val="center"/>
              <w:rPr>
                <w:rFonts w:ascii="Verdana" w:hAnsi="Verdana"/>
                <w:color w:val="183850" w:themeColor="text1"/>
                <w:sz w:val="20"/>
                <w:szCs w:val="20"/>
              </w:rPr>
            </w:pPr>
          </w:p>
        </w:tc>
      </w:tr>
      <w:tr w:rsidTr="00C63141">
        <w:tblPrEx>
          <w:tblW w:w="8217" w:type="dxa"/>
          <w:tblCellMar>
            <w:left w:w="0" w:type="dxa"/>
            <w:right w:w="0" w:type="dxa"/>
          </w:tblCellMar>
          <w:tblLook w:val="04A0"/>
        </w:tblPrEx>
        <w:trPr>
          <w:trHeight w:val="270"/>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Pr>
                <w:rFonts w:ascii="Verdana" w:hAnsi="Verdana"/>
                <w:color w:val="183850" w:themeColor="text1"/>
                <w:sz w:val="20"/>
                <w:szCs w:val="20"/>
              </w:rPr>
              <w:t xml:space="preserve">M - </w:t>
            </w:r>
            <w:r w:rsidRPr="00C63141">
              <w:rPr>
                <w:rFonts w:ascii="Verdana" w:hAnsi="Verdana"/>
                <w:color w:val="183850" w:themeColor="text1"/>
                <w:sz w:val="20"/>
                <w:szCs w:val="20"/>
              </w:rPr>
              <w:t>Routine/Business</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50</w:t>
            </w:r>
          </w:p>
        </w:tc>
        <w:tc>
          <w:tcPr>
            <w:tcW w:w="3811" w:type="dxa"/>
            <w:tcBorders>
              <w:top w:val="nil"/>
              <w:left w:val="single" w:sz="4" w:space="0" w:color="auto"/>
            </w:tcBorders>
          </w:tcPr>
          <w:p w:rsidR="00C63141" w:rsidRPr="00C63141" w:rsidP="00C63141">
            <w:pPr>
              <w:autoSpaceDE w:val="0"/>
              <w:autoSpaceDN w:val="0"/>
              <w:adjustRightInd w:val="0"/>
              <w:spacing w:after="0"/>
              <w:jc w:val="center"/>
              <w:rPr>
                <w:rFonts w:ascii="Verdana" w:hAnsi="Verdana"/>
                <w:color w:val="183850" w:themeColor="text1"/>
                <w:sz w:val="20"/>
                <w:szCs w:val="20"/>
              </w:rPr>
            </w:pPr>
          </w:p>
        </w:tc>
      </w:tr>
      <w:tr w:rsidTr="00C63141">
        <w:tblPrEx>
          <w:tblW w:w="8217" w:type="dxa"/>
          <w:tblCellMar>
            <w:left w:w="0" w:type="dxa"/>
            <w:right w:w="0" w:type="dxa"/>
          </w:tblCellMar>
          <w:tblLook w:val="04A0"/>
        </w:tblPrEx>
        <w:trPr>
          <w:trHeight w:val="270"/>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sidRPr="00C63141">
              <w:rPr>
                <w:rFonts w:ascii="Verdana" w:hAnsi="Verdana"/>
                <w:color w:val="183850" w:themeColor="text1"/>
                <w:sz w:val="20"/>
                <w:szCs w:val="20"/>
              </w:rPr>
              <w:t>SH</w:t>
            </w:r>
            <w:r>
              <w:rPr>
                <w:rFonts w:ascii="Verdana" w:hAnsi="Verdana"/>
                <w:color w:val="183850" w:themeColor="text1"/>
                <w:sz w:val="20"/>
                <w:szCs w:val="20"/>
              </w:rPr>
              <w:t xml:space="preserve"> </w:t>
            </w:r>
            <w:r w:rsidRPr="00C63141">
              <w:rPr>
                <w:rFonts w:ascii="Verdana" w:hAnsi="Verdana"/>
                <w:color w:val="183850" w:themeColor="text1"/>
                <w:sz w:val="20"/>
                <w:szCs w:val="20"/>
              </w:rPr>
              <w:t>-Director Related</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25</w:t>
            </w:r>
          </w:p>
        </w:tc>
        <w:tc>
          <w:tcPr>
            <w:tcW w:w="3811" w:type="dxa"/>
            <w:tcBorders>
              <w:top w:val="nil"/>
              <w:left w:val="single" w:sz="4" w:space="0" w:color="auto"/>
            </w:tcBorders>
          </w:tcPr>
          <w:p w:rsidR="00C63141" w:rsidRPr="00C63141" w:rsidP="00C63141">
            <w:pPr>
              <w:autoSpaceDE w:val="0"/>
              <w:autoSpaceDN w:val="0"/>
              <w:adjustRightInd w:val="0"/>
              <w:spacing w:after="0"/>
              <w:rPr>
                <w:rFonts w:ascii="Verdana" w:hAnsi="Verdana"/>
                <w:color w:val="183850" w:themeColor="text1"/>
                <w:sz w:val="20"/>
                <w:szCs w:val="20"/>
              </w:rPr>
            </w:pPr>
            <w:r>
              <w:rPr>
                <w:rFonts w:ascii="Verdana" w:hAnsi="Verdana"/>
                <w:color w:val="183850" w:themeColor="text1"/>
                <w:sz w:val="20"/>
                <w:szCs w:val="20"/>
              </w:rPr>
              <w:t>Proct</w:t>
            </w:r>
            <w:r>
              <w:rPr>
                <w:rFonts w:ascii="Verdana" w:hAnsi="Verdana"/>
                <w:color w:val="183850" w:themeColor="text1"/>
                <w:sz w:val="20"/>
                <w:szCs w:val="20"/>
              </w:rPr>
              <w:t>e</w:t>
            </w:r>
            <w:r>
              <w:rPr>
                <w:rFonts w:ascii="Verdana" w:hAnsi="Verdana"/>
                <w:color w:val="183850" w:themeColor="text1"/>
                <w:sz w:val="20"/>
                <w:szCs w:val="20"/>
              </w:rPr>
              <w:t>r &amp; Gamble/FirstRand</w:t>
            </w:r>
          </w:p>
        </w:tc>
      </w:tr>
      <w:tr w:rsidTr="00C63141">
        <w:tblPrEx>
          <w:tblW w:w="8217" w:type="dxa"/>
          <w:tblCellMar>
            <w:left w:w="0" w:type="dxa"/>
            <w:right w:w="0" w:type="dxa"/>
          </w:tblCellMar>
          <w:tblLook w:val="04A0"/>
        </w:tblPrEx>
        <w:trPr>
          <w:trHeight w:val="270"/>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sidRPr="00C63141">
              <w:rPr>
                <w:rFonts w:ascii="Verdana" w:hAnsi="Verdana"/>
                <w:color w:val="183850" w:themeColor="text1"/>
                <w:sz w:val="20"/>
                <w:szCs w:val="20"/>
              </w:rPr>
              <w:t>SH</w:t>
            </w:r>
            <w:r>
              <w:rPr>
                <w:rFonts w:ascii="Verdana" w:hAnsi="Verdana"/>
                <w:color w:val="183850" w:themeColor="text1"/>
                <w:sz w:val="20"/>
                <w:szCs w:val="20"/>
              </w:rPr>
              <w:t xml:space="preserve"> </w:t>
            </w:r>
            <w:r w:rsidRPr="00C63141">
              <w:rPr>
                <w:rFonts w:ascii="Verdana" w:hAnsi="Verdana"/>
                <w:color w:val="183850" w:themeColor="text1"/>
                <w:sz w:val="20"/>
                <w:szCs w:val="20"/>
              </w:rPr>
              <w:t>-Other/</w:t>
            </w:r>
            <w:r w:rsidRPr="00C63141">
              <w:rPr>
                <w:rFonts w:ascii="Verdana" w:hAnsi="Verdana"/>
                <w:color w:val="183850" w:themeColor="text1"/>
                <w:sz w:val="20"/>
                <w:szCs w:val="20"/>
              </w:rPr>
              <w:t>misc.</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6</w:t>
            </w:r>
          </w:p>
        </w:tc>
        <w:tc>
          <w:tcPr>
            <w:tcW w:w="3811" w:type="dxa"/>
            <w:tcBorders>
              <w:top w:val="nil"/>
              <w:left w:val="single" w:sz="4" w:space="0" w:color="auto"/>
            </w:tcBorders>
          </w:tcPr>
          <w:p w:rsidR="00C63141" w:rsidRPr="00C63141" w:rsidP="00C63141">
            <w:pPr>
              <w:autoSpaceDE w:val="0"/>
              <w:autoSpaceDN w:val="0"/>
              <w:adjustRightInd w:val="0"/>
              <w:spacing w:after="0"/>
              <w:rPr>
                <w:rFonts w:ascii="Verdana" w:hAnsi="Verdana"/>
                <w:color w:val="183850" w:themeColor="text1"/>
                <w:sz w:val="20"/>
                <w:szCs w:val="20"/>
              </w:rPr>
            </w:pPr>
          </w:p>
        </w:tc>
      </w:tr>
      <w:tr w:rsidTr="00C63141">
        <w:tblPrEx>
          <w:tblW w:w="8217" w:type="dxa"/>
          <w:tblCellMar>
            <w:left w:w="0" w:type="dxa"/>
            <w:right w:w="0" w:type="dxa"/>
          </w:tblCellMar>
          <w:tblLook w:val="04A0"/>
        </w:tblPrEx>
        <w:trPr>
          <w:trHeight w:val="270"/>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sidRPr="00C63141">
              <w:rPr>
                <w:rFonts w:ascii="Verdana" w:hAnsi="Verdana"/>
                <w:color w:val="183850" w:themeColor="text1"/>
                <w:sz w:val="20"/>
                <w:szCs w:val="20"/>
              </w:rPr>
              <w:t>SH</w:t>
            </w:r>
            <w:r>
              <w:rPr>
                <w:rFonts w:ascii="Verdana" w:hAnsi="Verdana"/>
                <w:color w:val="183850" w:themeColor="text1"/>
                <w:sz w:val="20"/>
                <w:szCs w:val="20"/>
              </w:rPr>
              <w:t xml:space="preserve"> </w:t>
            </w:r>
            <w:r w:rsidRPr="00C63141">
              <w:rPr>
                <w:rFonts w:ascii="Verdana" w:hAnsi="Verdana"/>
                <w:color w:val="183850" w:themeColor="text1"/>
                <w:sz w:val="20"/>
                <w:szCs w:val="20"/>
              </w:rPr>
              <w:t>-Routine/Business</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3</w:t>
            </w:r>
          </w:p>
        </w:tc>
        <w:tc>
          <w:tcPr>
            <w:tcW w:w="3811" w:type="dxa"/>
            <w:tcBorders>
              <w:top w:val="nil"/>
              <w:left w:val="single" w:sz="4" w:space="0" w:color="auto"/>
            </w:tcBorders>
          </w:tcPr>
          <w:p w:rsidR="00C63141" w:rsidRPr="00C63141" w:rsidP="00C63141">
            <w:pPr>
              <w:autoSpaceDE w:val="0"/>
              <w:autoSpaceDN w:val="0"/>
              <w:adjustRightInd w:val="0"/>
              <w:spacing w:after="0"/>
              <w:rPr>
                <w:rFonts w:ascii="Verdana" w:hAnsi="Verdana"/>
                <w:color w:val="183850" w:themeColor="text1"/>
                <w:sz w:val="20"/>
                <w:szCs w:val="20"/>
              </w:rPr>
            </w:pPr>
          </w:p>
        </w:tc>
      </w:tr>
      <w:tr w:rsidTr="00C63141">
        <w:tblPrEx>
          <w:tblW w:w="8217" w:type="dxa"/>
          <w:tblCellMar>
            <w:left w:w="0" w:type="dxa"/>
            <w:right w:w="0" w:type="dxa"/>
          </w:tblCellMar>
          <w:tblLook w:val="04A0"/>
        </w:tblPrEx>
        <w:trPr>
          <w:trHeight w:val="270"/>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sidRPr="00C63141">
              <w:rPr>
                <w:rFonts w:ascii="Verdana" w:hAnsi="Verdana"/>
                <w:color w:val="183850" w:themeColor="text1"/>
                <w:sz w:val="20"/>
                <w:szCs w:val="20"/>
              </w:rPr>
              <w:t>SH</w:t>
            </w:r>
            <w:r>
              <w:rPr>
                <w:rFonts w:ascii="Verdana" w:hAnsi="Verdana"/>
                <w:color w:val="183850" w:themeColor="text1"/>
                <w:sz w:val="20"/>
                <w:szCs w:val="20"/>
              </w:rPr>
              <w:t xml:space="preserve"> </w:t>
            </w:r>
            <w:r w:rsidRPr="00C63141">
              <w:rPr>
                <w:rFonts w:ascii="Verdana" w:hAnsi="Verdana"/>
                <w:color w:val="183850" w:themeColor="text1"/>
                <w:sz w:val="20"/>
                <w:szCs w:val="20"/>
              </w:rPr>
              <w:t>-Social/Human Rights</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2</w:t>
            </w:r>
          </w:p>
        </w:tc>
        <w:tc>
          <w:tcPr>
            <w:tcW w:w="3811" w:type="dxa"/>
            <w:tcBorders>
              <w:top w:val="nil"/>
              <w:left w:val="single" w:sz="4" w:space="0" w:color="auto"/>
            </w:tcBorders>
          </w:tcPr>
          <w:p w:rsidR="00C63141" w:rsidRPr="00C63141" w:rsidP="00C63141">
            <w:pPr>
              <w:autoSpaceDE w:val="0"/>
              <w:autoSpaceDN w:val="0"/>
              <w:adjustRightInd w:val="0"/>
              <w:spacing w:after="0"/>
              <w:rPr>
                <w:rFonts w:ascii="Verdana" w:hAnsi="Verdana"/>
                <w:color w:val="183850" w:themeColor="text1"/>
                <w:sz w:val="20"/>
                <w:szCs w:val="20"/>
              </w:rPr>
            </w:pPr>
            <w:r>
              <w:rPr>
                <w:rFonts w:ascii="Verdana" w:hAnsi="Verdana"/>
                <w:color w:val="183850" w:themeColor="text1"/>
                <w:sz w:val="20"/>
                <w:szCs w:val="20"/>
              </w:rPr>
              <w:t>Proct</w:t>
            </w:r>
            <w:r>
              <w:rPr>
                <w:rFonts w:ascii="Verdana" w:hAnsi="Verdana"/>
                <w:color w:val="183850" w:themeColor="text1"/>
                <w:sz w:val="20"/>
                <w:szCs w:val="20"/>
              </w:rPr>
              <w:t>e</w:t>
            </w:r>
            <w:r>
              <w:rPr>
                <w:rFonts w:ascii="Verdana" w:hAnsi="Verdana"/>
                <w:color w:val="183850" w:themeColor="text1"/>
                <w:sz w:val="20"/>
                <w:szCs w:val="20"/>
              </w:rPr>
              <w:t>r &amp; Gamble</w:t>
            </w:r>
          </w:p>
        </w:tc>
      </w:tr>
      <w:tr w:rsidTr="00C63141">
        <w:tblPrEx>
          <w:tblW w:w="8217" w:type="dxa"/>
          <w:tblCellMar>
            <w:left w:w="0" w:type="dxa"/>
            <w:right w:w="0" w:type="dxa"/>
          </w:tblCellMar>
          <w:tblLook w:val="04A0"/>
        </w:tblPrEx>
        <w:trPr>
          <w:trHeight w:val="255"/>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sidRPr="00C63141">
              <w:rPr>
                <w:rFonts w:ascii="Verdana" w:hAnsi="Verdana"/>
                <w:color w:val="183850" w:themeColor="text1"/>
                <w:sz w:val="20"/>
                <w:szCs w:val="20"/>
              </w:rPr>
              <w:t>SH</w:t>
            </w:r>
            <w:r>
              <w:rPr>
                <w:rFonts w:ascii="Verdana" w:hAnsi="Verdana"/>
                <w:color w:val="183850" w:themeColor="text1"/>
                <w:sz w:val="20"/>
                <w:szCs w:val="20"/>
              </w:rPr>
              <w:t xml:space="preserve"> </w:t>
            </w:r>
            <w:r w:rsidRPr="00C63141">
              <w:rPr>
                <w:rFonts w:ascii="Verdana" w:hAnsi="Verdana"/>
                <w:color w:val="183850" w:themeColor="text1"/>
                <w:sz w:val="20"/>
                <w:szCs w:val="20"/>
              </w:rPr>
              <w:t>-Compensation</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1</w:t>
            </w:r>
          </w:p>
        </w:tc>
        <w:tc>
          <w:tcPr>
            <w:tcW w:w="3811" w:type="dxa"/>
            <w:tcBorders>
              <w:top w:val="nil"/>
              <w:left w:val="single" w:sz="4" w:space="0" w:color="auto"/>
            </w:tcBorders>
          </w:tcPr>
          <w:p w:rsidR="00C63141" w:rsidRPr="00C63141" w:rsidP="00C63141">
            <w:pPr>
              <w:autoSpaceDE w:val="0"/>
              <w:autoSpaceDN w:val="0"/>
              <w:adjustRightInd w:val="0"/>
              <w:spacing w:after="0"/>
              <w:rPr>
                <w:rFonts w:ascii="Verdana" w:hAnsi="Verdana"/>
                <w:color w:val="183850" w:themeColor="text1"/>
                <w:sz w:val="20"/>
                <w:szCs w:val="20"/>
              </w:rPr>
            </w:pPr>
            <w:r>
              <w:rPr>
                <w:rFonts w:ascii="Verdana" w:hAnsi="Verdana"/>
                <w:color w:val="183850" w:themeColor="text1"/>
                <w:sz w:val="20"/>
                <w:szCs w:val="20"/>
              </w:rPr>
              <w:t>Sysco</w:t>
            </w:r>
          </w:p>
        </w:tc>
      </w:tr>
      <w:tr w:rsidTr="00C63141">
        <w:tblPrEx>
          <w:tblW w:w="8217" w:type="dxa"/>
          <w:tblCellMar>
            <w:left w:w="0" w:type="dxa"/>
            <w:right w:w="0" w:type="dxa"/>
          </w:tblCellMar>
          <w:tblLook w:val="04A0"/>
        </w:tblPrEx>
        <w:trPr>
          <w:trHeight w:val="255"/>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sidRPr="00C63141">
              <w:rPr>
                <w:rFonts w:ascii="Verdana" w:hAnsi="Verdana"/>
                <w:color w:val="183850" w:themeColor="text1"/>
                <w:sz w:val="20"/>
                <w:szCs w:val="20"/>
              </w:rPr>
              <w:t>SH</w:t>
            </w:r>
            <w:r>
              <w:rPr>
                <w:rFonts w:ascii="Verdana" w:hAnsi="Verdana"/>
                <w:color w:val="183850" w:themeColor="text1"/>
                <w:sz w:val="20"/>
                <w:szCs w:val="20"/>
              </w:rPr>
              <w:t xml:space="preserve"> </w:t>
            </w:r>
            <w:r w:rsidRPr="00C63141">
              <w:rPr>
                <w:rFonts w:ascii="Verdana" w:hAnsi="Verdana"/>
                <w:color w:val="183850" w:themeColor="text1"/>
                <w:sz w:val="20"/>
                <w:szCs w:val="20"/>
              </w:rPr>
              <w:t>-Health/Environmental</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sidRPr="00C63141">
              <w:rPr>
                <w:rFonts w:ascii="Verdana" w:hAnsi="Verdana"/>
                <w:color w:val="183850" w:themeColor="text1"/>
                <w:sz w:val="20"/>
                <w:szCs w:val="20"/>
              </w:rPr>
              <w:t>1</w:t>
            </w:r>
          </w:p>
        </w:tc>
        <w:tc>
          <w:tcPr>
            <w:tcW w:w="3811" w:type="dxa"/>
            <w:tcBorders>
              <w:top w:val="nil"/>
              <w:left w:val="single" w:sz="4" w:space="0" w:color="auto"/>
            </w:tcBorders>
          </w:tcPr>
          <w:p w:rsidR="00C63141" w:rsidRPr="00C63141" w:rsidP="00C63141">
            <w:pPr>
              <w:autoSpaceDE w:val="0"/>
              <w:autoSpaceDN w:val="0"/>
              <w:adjustRightInd w:val="0"/>
              <w:spacing w:after="0"/>
              <w:rPr>
                <w:rFonts w:ascii="Verdana" w:hAnsi="Verdana"/>
                <w:color w:val="183850" w:themeColor="text1"/>
                <w:sz w:val="20"/>
                <w:szCs w:val="20"/>
              </w:rPr>
            </w:pPr>
            <w:r>
              <w:rPr>
                <w:rFonts w:ascii="Verdana" w:hAnsi="Verdana"/>
                <w:color w:val="183850" w:themeColor="text1"/>
                <w:sz w:val="20"/>
                <w:szCs w:val="20"/>
              </w:rPr>
              <w:t>Commonwealth Bank of Australia</w:t>
            </w:r>
          </w:p>
        </w:tc>
      </w:tr>
      <w:tr w:rsidTr="00C63141">
        <w:tblPrEx>
          <w:tblW w:w="8217" w:type="dxa"/>
          <w:tblCellMar>
            <w:left w:w="0" w:type="dxa"/>
            <w:right w:w="0" w:type="dxa"/>
          </w:tblCellMar>
          <w:tblLook w:val="04A0"/>
        </w:tblPrEx>
        <w:trPr>
          <w:trHeight w:val="255"/>
        </w:trPr>
        <w:tc>
          <w:tcPr>
            <w:tcW w:w="3264" w:type="dxa"/>
            <w:tcBorders>
              <w:top w:val="nil"/>
              <w:left w:val="single" w:sz="4" w:space="0" w:color="auto"/>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rPr>
                <w:rFonts w:ascii="Verdana" w:hAnsi="Verdana"/>
                <w:color w:val="183850" w:themeColor="text1"/>
                <w:sz w:val="20"/>
                <w:szCs w:val="20"/>
              </w:rPr>
            </w:pPr>
            <w:r w:rsidRPr="00C63141">
              <w:rPr>
                <w:rFonts w:ascii="Verdana" w:hAnsi="Verdana"/>
                <w:color w:val="183850" w:themeColor="text1"/>
                <w:sz w:val="20"/>
                <w:szCs w:val="20"/>
              </w:rPr>
              <w:t>Total</w:t>
            </w:r>
            <w:r>
              <w:rPr>
                <w:rFonts w:ascii="Verdana" w:hAnsi="Verdana"/>
                <w:color w:val="183850" w:themeColor="text1"/>
                <w:sz w:val="20"/>
                <w:szCs w:val="20"/>
              </w:rPr>
              <w:t xml:space="preserve">  </w:t>
            </w:r>
          </w:p>
        </w:tc>
        <w:tc>
          <w:tcPr>
            <w:tcW w:w="1142" w:type="dxa"/>
            <w:tcBorders>
              <w:top w:val="single" w:sz="4" w:space="0" w:color="auto"/>
              <w:left w:val="nil"/>
              <w:bottom w:val="single" w:sz="4" w:space="0" w:color="auto"/>
              <w:right w:val="single" w:sz="4" w:space="0" w:color="auto"/>
            </w:tcBorders>
            <w:shd w:val="clear" w:color="auto" w:fill="auto"/>
            <w:noWrap/>
            <w:hideMark/>
          </w:tcPr>
          <w:p w:rsidR="00C63141" w:rsidRPr="00C63141" w:rsidP="00C63141">
            <w:pPr>
              <w:autoSpaceDE w:val="0"/>
              <w:autoSpaceDN w:val="0"/>
              <w:adjustRightInd w:val="0"/>
              <w:spacing w:after="0"/>
              <w:jc w:val="center"/>
              <w:rPr>
                <w:rFonts w:ascii="Verdana" w:hAnsi="Verdana"/>
                <w:color w:val="183850" w:themeColor="text1"/>
                <w:sz w:val="20"/>
                <w:szCs w:val="20"/>
              </w:rPr>
            </w:pPr>
            <w:r>
              <w:rPr>
                <w:rFonts w:ascii="Verdana" w:hAnsi="Verdana"/>
                <w:color w:val="183850" w:themeColor="text1"/>
                <w:sz w:val="20"/>
                <w:szCs w:val="20"/>
              </w:rPr>
              <w:t xml:space="preserve"> </w:t>
            </w:r>
            <w:r w:rsidRPr="00C63141">
              <w:rPr>
                <w:rFonts w:ascii="Verdana" w:hAnsi="Verdana"/>
                <w:color w:val="183850" w:themeColor="text1"/>
                <w:sz w:val="20"/>
                <w:szCs w:val="20"/>
              </w:rPr>
              <w:t>413</w:t>
            </w:r>
          </w:p>
        </w:tc>
        <w:tc>
          <w:tcPr>
            <w:tcW w:w="3811" w:type="dxa"/>
            <w:tcBorders>
              <w:top w:val="nil"/>
              <w:left w:val="single" w:sz="4" w:space="0" w:color="auto"/>
            </w:tcBorders>
          </w:tcPr>
          <w:p w:rsidR="00C63141" w:rsidP="00C63141">
            <w:pPr>
              <w:autoSpaceDE w:val="0"/>
              <w:autoSpaceDN w:val="0"/>
              <w:adjustRightInd w:val="0"/>
              <w:spacing w:after="0"/>
              <w:jc w:val="center"/>
              <w:rPr>
                <w:rFonts w:ascii="Verdana" w:hAnsi="Verdana"/>
                <w:color w:val="183850" w:themeColor="text1"/>
                <w:sz w:val="20"/>
                <w:szCs w:val="20"/>
              </w:rPr>
            </w:pPr>
          </w:p>
        </w:tc>
      </w:tr>
    </w:tbl>
    <w:p w:rsidR="00C63141" w:rsidP="00C63141">
      <w:pPr>
        <w:autoSpaceDE w:val="0"/>
        <w:autoSpaceDN w:val="0"/>
        <w:adjustRightInd w:val="0"/>
        <w:spacing w:after="0"/>
        <w:jc w:val="center"/>
        <w:rPr>
          <w:rFonts w:ascii="Verdana" w:hAnsi="Verdana" w:cs="Arial"/>
          <w:bCs/>
          <w:color w:val="183850" w:themeColor="text1"/>
          <w:sz w:val="20"/>
          <w:szCs w:val="20"/>
        </w:rPr>
      </w:pPr>
    </w:p>
    <w:p w:rsidR="00EA4636" w:rsidP="00EA4636">
      <w:pPr>
        <w:autoSpaceDE w:val="0"/>
        <w:autoSpaceDN w:val="0"/>
        <w:adjustRightInd w:val="0"/>
        <w:spacing w:after="0"/>
        <w:rPr>
          <w:rFonts w:ascii="Verdana" w:hAnsi="Verdana" w:cs="Arial"/>
          <w:bCs/>
          <w:color w:val="183850" w:themeColor="text1"/>
          <w:sz w:val="20"/>
          <w:szCs w:val="20"/>
        </w:rPr>
      </w:pPr>
      <w:r w:rsidRPr="002D14BD">
        <w:rPr>
          <w:rFonts w:ascii="Verdana" w:hAnsi="Verdana" w:cs="Arial"/>
          <w:bCs/>
          <w:color w:val="183850" w:themeColor="text1"/>
          <w:sz w:val="20"/>
          <w:szCs w:val="20"/>
        </w:rPr>
        <w:t xml:space="preserve">LPP voted against management resolutions in </w:t>
      </w:r>
      <w:r>
        <w:rPr>
          <w:rFonts w:ascii="Verdana" w:hAnsi="Verdana" w:cs="Arial"/>
          <w:bCs/>
          <w:color w:val="183850" w:themeColor="text1"/>
          <w:sz w:val="20"/>
          <w:szCs w:val="20"/>
        </w:rPr>
        <w:t>3</w:t>
      </w:r>
      <w:r w:rsidRPr="002D14BD">
        <w:rPr>
          <w:rFonts w:ascii="Verdana" w:hAnsi="Verdana" w:cs="Arial"/>
          <w:bCs/>
          <w:color w:val="183850" w:themeColor="text1"/>
          <w:sz w:val="20"/>
          <w:szCs w:val="20"/>
        </w:rPr>
        <w:t>6 instances</w:t>
      </w:r>
      <w:r>
        <w:rPr>
          <w:rFonts w:ascii="Verdana" w:hAnsi="Verdana" w:cs="Arial"/>
          <w:bCs/>
          <w:color w:val="183850" w:themeColor="text1"/>
          <w:sz w:val="20"/>
          <w:szCs w:val="20"/>
        </w:rPr>
        <w:t>.</w:t>
      </w:r>
      <w:r w:rsidRPr="002D14BD">
        <w:rPr>
          <w:rFonts w:ascii="Verdana" w:hAnsi="Verdana" w:cs="Arial"/>
          <w:bCs/>
          <w:color w:val="183850" w:themeColor="text1"/>
          <w:sz w:val="20"/>
          <w:szCs w:val="20"/>
        </w:rPr>
        <w:t xml:space="preserve"> </w:t>
      </w:r>
      <w:r>
        <w:rPr>
          <w:rFonts w:ascii="Verdana" w:hAnsi="Verdana" w:cs="Arial"/>
          <w:bCs/>
          <w:color w:val="183850" w:themeColor="text1"/>
          <w:sz w:val="20"/>
          <w:szCs w:val="20"/>
        </w:rPr>
        <w:t>18</w:t>
      </w:r>
      <w:r w:rsidRPr="002D14BD">
        <w:rPr>
          <w:rFonts w:ascii="Verdana" w:hAnsi="Verdana" w:cs="Arial"/>
          <w:bCs/>
          <w:color w:val="183850" w:themeColor="text1"/>
          <w:sz w:val="20"/>
          <w:szCs w:val="20"/>
        </w:rPr>
        <w:t xml:space="preserve"> </w:t>
      </w:r>
      <w:r>
        <w:rPr>
          <w:rFonts w:ascii="Verdana" w:hAnsi="Verdana" w:cs="Arial"/>
          <w:bCs/>
          <w:color w:val="183850" w:themeColor="text1"/>
          <w:sz w:val="20"/>
          <w:szCs w:val="20"/>
        </w:rPr>
        <w:t>related to a proxy conte</w:t>
      </w:r>
      <w:r>
        <w:rPr>
          <w:rFonts w:ascii="Verdana" w:hAnsi="Verdana" w:cs="Arial"/>
          <w:bCs/>
          <w:color w:val="183850" w:themeColor="text1"/>
          <w:sz w:val="20"/>
          <w:szCs w:val="20"/>
        </w:rPr>
        <w:t>s</w:t>
      </w:r>
      <w:r>
        <w:rPr>
          <w:rFonts w:ascii="Verdana" w:hAnsi="Verdana" w:cs="Arial"/>
          <w:bCs/>
          <w:color w:val="183850" w:themeColor="text1"/>
          <w:sz w:val="20"/>
          <w:szCs w:val="20"/>
        </w:rPr>
        <w:t>t at Proct</w:t>
      </w:r>
      <w:r>
        <w:rPr>
          <w:rFonts w:ascii="Verdana" w:hAnsi="Verdana" w:cs="Arial"/>
          <w:bCs/>
          <w:color w:val="183850" w:themeColor="text1"/>
          <w:sz w:val="20"/>
          <w:szCs w:val="20"/>
        </w:rPr>
        <w:t>e</w:t>
      </w:r>
      <w:r>
        <w:rPr>
          <w:rFonts w:ascii="Verdana" w:hAnsi="Verdana" w:cs="Arial"/>
          <w:bCs/>
          <w:color w:val="183850" w:themeColor="text1"/>
          <w:sz w:val="20"/>
          <w:szCs w:val="20"/>
        </w:rPr>
        <w:t>r and Gamble (</w:t>
      </w:r>
      <w:r>
        <w:rPr>
          <w:rFonts w:ascii="Verdana" w:hAnsi="Verdana" w:cs="Arial"/>
          <w:bCs/>
          <w:color w:val="183850" w:themeColor="text1"/>
          <w:sz w:val="20"/>
          <w:szCs w:val="20"/>
        </w:rPr>
        <w:t>US m</w:t>
      </w:r>
      <w:r w:rsidRPr="00EA4636">
        <w:rPr>
          <w:rFonts w:ascii="Verdana" w:hAnsi="Verdana" w:cs="Arial"/>
          <w:bCs/>
          <w:color w:val="183850" w:themeColor="text1"/>
          <w:sz w:val="20"/>
          <w:szCs w:val="20"/>
        </w:rPr>
        <w:t>ulti-national consumer goods) </w:t>
      </w:r>
      <w:r>
        <w:rPr>
          <w:rFonts w:ascii="Verdana" w:hAnsi="Verdana" w:cs="Arial"/>
          <w:bCs/>
          <w:color w:val="183850" w:themeColor="text1"/>
          <w:sz w:val="20"/>
          <w:szCs w:val="20"/>
        </w:rPr>
        <w:t xml:space="preserve">where LPP voted the </w:t>
      </w:r>
      <w:r>
        <w:rPr>
          <w:rFonts w:ascii="Verdana" w:hAnsi="Verdana" w:cs="Arial"/>
          <w:bCs/>
          <w:color w:val="183850" w:themeColor="text1"/>
          <w:sz w:val="20"/>
          <w:szCs w:val="20"/>
        </w:rPr>
        <w:t xml:space="preserve">shareholder slate </w:t>
      </w:r>
      <w:r>
        <w:rPr>
          <w:rFonts w:ascii="Verdana" w:hAnsi="Verdana" w:cs="Arial"/>
          <w:bCs/>
          <w:color w:val="183850" w:themeColor="text1"/>
          <w:sz w:val="20"/>
          <w:szCs w:val="20"/>
        </w:rPr>
        <w:t xml:space="preserve">supporting </w:t>
      </w:r>
      <w:r>
        <w:rPr>
          <w:rFonts w:ascii="Verdana" w:hAnsi="Verdana" w:cs="Arial"/>
          <w:bCs/>
          <w:color w:val="183850" w:themeColor="text1"/>
          <w:sz w:val="20"/>
          <w:szCs w:val="20"/>
        </w:rPr>
        <w:t xml:space="preserve">the addition of activist candidate Nelson </w:t>
      </w:r>
      <w:r>
        <w:rPr>
          <w:rFonts w:ascii="Verdana" w:hAnsi="Verdana" w:cs="Arial"/>
          <w:bCs/>
          <w:color w:val="183850" w:themeColor="text1"/>
          <w:sz w:val="20"/>
          <w:szCs w:val="20"/>
        </w:rPr>
        <w:t>Peltz</w:t>
      </w:r>
      <w:r>
        <w:rPr>
          <w:rFonts w:ascii="Verdana" w:hAnsi="Verdana" w:cs="Arial"/>
          <w:bCs/>
          <w:color w:val="183850" w:themeColor="text1"/>
          <w:sz w:val="20"/>
          <w:szCs w:val="20"/>
        </w:rPr>
        <w:t xml:space="preserve"> to the Board.  </w:t>
      </w:r>
      <w:r w:rsidRPr="00C63141">
        <w:rPr>
          <w:rFonts w:ascii="Verdana" w:hAnsi="Verdana" w:cs="Arial"/>
          <w:bCs/>
          <w:color w:val="183850" w:themeColor="text1"/>
          <w:sz w:val="20"/>
          <w:szCs w:val="20"/>
        </w:rPr>
        <w:t xml:space="preserve">LPP’s decision reflected that </w:t>
      </w:r>
      <w:r w:rsidRPr="00C63141">
        <w:rPr>
          <w:rFonts w:ascii="Verdana" w:hAnsi="Verdana" w:cs="Arial"/>
          <w:bCs/>
          <w:color w:val="183850" w:themeColor="text1"/>
          <w:sz w:val="20"/>
          <w:szCs w:val="20"/>
        </w:rPr>
        <w:t>Peltz</w:t>
      </w:r>
      <w:r w:rsidRPr="00C63141">
        <w:rPr>
          <w:rFonts w:ascii="Verdana" w:hAnsi="Verdana" w:cs="Arial"/>
          <w:bCs/>
          <w:color w:val="183850" w:themeColor="text1"/>
          <w:sz w:val="20"/>
          <w:szCs w:val="20"/>
        </w:rPr>
        <w:t xml:space="preserve"> </w:t>
      </w:r>
      <w:r>
        <w:rPr>
          <w:rFonts w:ascii="Verdana" w:hAnsi="Verdana" w:cs="Arial"/>
          <w:bCs/>
          <w:color w:val="183850" w:themeColor="text1"/>
          <w:sz w:val="20"/>
          <w:szCs w:val="20"/>
        </w:rPr>
        <w:t>i</w:t>
      </w:r>
      <w:r w:rsidRPr="00C63141">
        <w:rPr>
          <w:rFonts w:ascii="Verdana" w:hAnsi="Verdana" w:cs="Arial"/>
          <w:bCs/>
          <w:color w:val="183850" w:themeColor="text1"/>
          <w:sz w:val="20"/>
          <w:szCs w:val="20"/>
        </w:rPr>
        <w:t xml:space="preserve">s well-qualified and holds a large economic stake in the firm which </w:t>
      </w:r>
      <w:r>
        <w:rPr>
          <w:rFonts w:ascii="Verdana" w:hAnsi="Verdana" w:cs="Arial"/>
          <w:bCs/>
          <w:color w:val="183850" w:themeColor="text1"/>
          <w:sz w:val="20"/>
          <w:szCs w:val="20"/>
        </w:rPr>
        <w:t>i</w:t>
      </w:r>
      <w:r w:rsidRPr="00C63141">
        <w:rPr>
          <w:rFonts w:ascii="Verdana" w:hAnsi="Verdana" w:cs="Arial"/>
          <w:bCs/>
          <w:color w:val="183850" w:themeColor="text1"/>
          <w:sz w:val="20"/>
          <w:szCs w:val="20"/>
        </w:rPr>
        <w:t>s likely to have benefits that outweigh the potential risks</w:t>
      </w:r>
      <w:r>
        <w:rPr>
          <w:rFonts w:ascii="Verdana" w:hAnsi="Verdana" w:cs="Arial"/>
          <w:bCs/>
          <w:color w:val="183850" w:themeColor="text1"/>
          <w:sz w:val="20"/>
          <w:szCs w:val="20"/>
        </w:rPr>
        <w:t xml:space="preserve"> argued by management</w:t>
      </w:r>
      <w:r w:rsidRPr="00C63141">
        <w:rPr>
          <w:rFonts w:ascii="Verdana" w:hAnsi="Verdana" w:cs="Arial"/>
          <w:bCs/>
          <w:color w:val="183850" w:themeColor="text1"/>
          <w:sz w:val="20"/>
          <w:szCs w:val="20"/>
        </w:rPr>
        <w:t>.</w:t>
      </w:r>
    </w:p>
    <w:p w:rsidR="00EA4636" w:rsidRPr="00C63141" w:rsidP="00C63141">
      <w:pPr>
        <w:autoSpaceDE w:val="0"/>
        <w:autoSpaceDN w:val="0"/>
        <w:adjustRightInd w:val="0"/>
        <w:spacing w:after="0"/>
        <w:rPr>
          <w:rFonts w:ascii="Verdana" w:hAnsi="Verdana" w:cs="Arial"/>
          <w:bCs/>
          <w:color w:val="183850" w:themeColor="text1"/>
          <w:sz w:val="20"/>
          <w:szCs w:val="20"/>
        </w:rPr>
      </w:pPr>
    </w:p>
    <w:p w:rsidR="00C63141" w:rsidRPr="00C63141" w:rsidP="00C63141">
      <w:pPr>
        <w:autoSpaceDE w:val="0"/>
        <w:autoSpaceDN w:val="0"/>
        <w:adjustRightInd w:val="0"/>
        <w:spacing w:after="0"/>
        <w:rPr>
          <w:rFonts w:ascii="Verdana" w:hAnsi="Verdana" w:cs="Arial"/>
          <w:bCs/>
          <w:color w:val="183850" w:themeColor="text1"/>
          <w:sz w:val="20"/>
          <w:szCs w:val="20"/>
        </w:rPr>
      </w:pPr>
      <w:r w:rsidRPr="00C63141">
        <w:rPr>
          <w:rFonts w:ascii="Verdana" w:hAnsi="Verdana" w:cs="Arial"/>
          <w:bCs/>
          <w:color w:val="183850" w:themeColor="text1"/>
          <w:sz w:val="20"/>
          <w:szCs w:val="20"/>
        </w:rPr>
        <w:t xml:space="preserve">The </w:t>
      </w:r>
      <w:r w:rsidRPr="00C63141">
        <w:rPr>
          <w:rFonts w:ascii="Verdana" w:hAnsi="Verdana" w:cs="Arial"/>
          <w:bCs/>
          <w:color w:val="183850" w:themeColor="text1"/>
          <w:sz w:val="20"/>
          <w:szCs w:val="20"/>
        </w:rPr>
        <w:t>hard-fought Procter &amp; Gamble proxy contest was well covered in the media</w:t>
      </w:r>
      <w:r>
        <w:rPr>
          <w:rFonts w:ascii="Verdana" w:hAnsi="Verdana" w:cs="Arial"/>
          <w:bCs/>
          <w:color w:val="183850" w:themeColor="text1"/>
          <w:sz w:val="20"/>
          <w:szCs w:val="20"/>
        </w:rPr>
        <w:t xml:space="preserve"> and </w:t>
      </w:r>
      <w:r w:rsidRPr="00C63141">
        <w:rPr>
          <w:rFonts w:ascii="Verdana" w:hAnsi="Verdana" w:cs="Arial"/>
          <w:bCs/>
          <w:color w:val="183850" w:themeColor="text1"/>
          <w:sz w:val="20"/>
          <w:szCs w:val="20"/>
        </w:rPr>
        <w:t xml:space="preserve">recognised as the biggest ever involving a US company. The </w:t>
      </w:r>
      <w:r>
        <w:rPr>
          <w:rFonts w:ascii="Verdana" w:hAnsi="Verdana" w:cs="Arial"/>
          <w:bCs/>
          <w:color w:val="183850" w:themeColor="text1"/>
          <w:sz w:val="20"/>
          <w:szCs w:val="20"/>
        </w:rPr>
        <w:t>combative</w:t>
      </w:r>
      <w:r w:rsidRPr="00C63141">
        <w:rPr>
          <w:rFonts w:ascii="Verdana" w:hAnsi="Verdana" w:cs="Arial"/>
          <w:bCs/>
          <w:color w:val="183850" w:themeColor="text1"/>
          <w:sz w:val="20"/>
          <w:szCs w:val="20"/>
        </w:rPr>
        <w:t xml:space="preserve"> contest reportedly saw the two sides collectively spend more than $100 million on mailings, phone calls and ad</w:t>
      </w:r>
      <w:r w:rsidRPr="00C63141">
        <w:rPr>
          <w:rFonts w:ascii="Verdana" w:hAnsi="Verdana" w:cs="Arial"/>
          <w:bCs/>
          <w:color w:val="183850" w:themeColor="text1"/>
          <w:sz w:val="20"/>
          <w:szCs w:val="20"/>
        </w:rPr>
        <w:t>vertisements to woo investors.</w:t>
      </w:r>
      <w:r>
        <w:rPr>
          <w:rFonts w:ascii="Verdana" w:hAnsi="Verdana" w:cs="Arial"/>
          <w:bCs/>
          <w:color w:val="183850" w:themeColor="text1"/>
          <w:sz w:val="20"/>
          <w:szCs w:val="20"/>
        </w:rPr>
        <w:t xml:space="preserve">  </w:t>
      </w:r>
      <w:r w:rsidRPr="00C63141">
        <w:rPr>
          <w:rFonts w:ascii="Verdana" w:hAnsi="Verdana" w:cs="Arial"/>
          <w:bCs/>
          <w:color w:val="183850" w:themeColor="text1"/>
          <w:sz w:val="20"/>
          <w:szCs w:val="20"/>
        </w:rPr>
        <w:t>Whilst the shareholder proposal ultimately failed to gain a majority, Proct</w:t>
      </w:r>
      <w:r>
        <w:rPr>
          <w:rFonts w:ascii="Verdana" w:hAnsi="Verdana" w:cs="Arial"/>
          <w:bCs/>
          <w:color w:val="183850" w:themeColor="text1"/>
          <w:sz w:val="20"/>
          <w:szCs w:val="20"/>
        </w:rPr>
        <w:t>e</w:t>
      </w:r>
      <w:r w:rsidRPr="00C63141">
        <w:rPr>
          <w:rFonts w:ascii="Verdana" w:hAnsi="Verdana" w:cs="Arial"/>
          <w:bCs/>
          <w:color w:val="183850" w:themeColor="text1"/>
          <w:sz w:val="20"/>
          <w:szCs w:val="20"/>
        </w:rPr>
        <w:t xml:space="preserve">r &amp; Gamble have subsequently agreed to appoint Nelson </w:t>
      </w:r>
      <w:r w:rsidRPr="00C63141">
        <w:rPr>
          <w:rFonts w:ascii="Verdana" w:hAnsi="Verdana" w:cs="Arial"/>
          <w:bCs/>
          <w:color w:val="183850" w:themeColor="text1"/>
          <w:sz w:val="20"/>
          <w:szCs w:val="20"/>
        </w:rPr>
        <w:t>Peltz</w:t>
      </w:r>
      <w:r w:rsidRPr="00C63141">
        <w:rPr>
          <w:rFonts w:ascii="Verdana" w:hAnsi="Verdana" w:cs="Arial"/>
          <w:bCs/>
          <w:color w:val="183850" w:themeColor="text1"/>
          <w:sz w:val="20"/>
          <w:szCs w:val="20"/>
        </w:rPr>
        <w:t xml:space="preserve"> to the board </w:t>
      </w:r>
      <w:r>
        <w:rPr>
          <w:rFonts w:ascii="Verdana" w:hAnsi="Verdana" w:cs="Arial"/>
          <w:bCs/>
          <w:color w:val="183850" w:themeColor="text1"/>
          <w:sz w:val="20"/>
          <w:szCs w:val="20"/>
        </w:rPr>
        <w:t>from March 2018 and</w:t>
      </w:r>
      <w:r w:rsidRPr="00C63141">
        <w:rPr>
          <w:rFonts w:ascii="Verdana" w:hAnsi="Verdana" w:cs="Arial"/>
          <w:bCs/>
          <w:color w:val="183850" w:themeColor="text1"/>
          <w:sz w:val="20"/>
          <w:szCs w:val="20"/>
        </w:rPr>
        <w:t xml:space="preserve"> to re-nominat</w:t>
      </w:r>
      <w:r>
        <w:rPr>
          <w:rFonts w:ascii="Verdana" w:hAnsi="Verdana" w:cs="Arial"/>
          <w:bCs/>
          <w:color w:val="183850" w:themeColor="text1"/>
          <w:sz w:val="20"/>
          <w:szCs w:val="20"/>
        </w:rPr>
        <w:t>e</w:t>
      </w:r>
      <w:r w:rsidRPr="00C63141">
        <w:rPr>
          <w:rFonts w:ascii="Verdana" w:hAnsi="Verdana" w:cs="Arial"/>
          <w:bCs/>
          <w:color w:val="183850" w:themeColor="text1"/>
          <w:sz w:val="20"/>
          <w:szCs w:val="20"/>
        </w:rPr>
        <w:t xml:space="preserve"> </w:t>
      </w:r>
      <w:r>
        <w:rPr>
          <w:rFonts w:ascii="Verdana" w:hAnsi="Verdana" w:cs="Arial"/>
          <w:bCs/>
          <w:color w:val="183850" w:themeColor="text1"/>
          <w:sz w:val="20"/>
          <w:szCs w:val="20"/>
        </w:rPr>
        <w:t>him</w:t>
      </w:r>
      <w:r w:rsidRPr="00C63141">
        <w:rPr>
          <w:rFonts w:ascii="Verdana" w:hAnsi="Verdana" w:cs="Arial"/>
          <w:bCs/>
          <w:color w:val="183850" w:themeColor="text1"/>
          <w:sz w:val="20"/>
          <w:szCs w:val="20"/>
        </w:rPr>
        <w:t xml:space="preserve"> at next year’s annual meeting</w:t>
      </w:r>
      <w:r>
        <w:rPr>
          <w:rFonts w:ascii="Verdana" w:hAnsi="Verdana" w:cs="Arial"/>
          <w:bCs/>
          <w:color w:val="183850" w:themeColor="text1"/>
          <w:sz w:val="20"/>
          <w:szCs w:val="20"/>
        </w:rPr>
        <w:t xml:space="preserve"> in November 2018</w:t>
      </w:r>
      <w:r w:rsidRPr="00C63141">
        <w:rPr>
          <w:rFonts w:ascii="Verdana" w:hAnsi="Verdana" w:cs="Arial"/>
          <w:bCs/>
          <w:color w:val="183850" w:themeColor="text1"/>
          <w:sz w:val="20"/>
          <w:szCs w:val="20"/>
        </w:rPr>
        <w:t>.</w:t>
      </w:r>
    </w:p>
    <w:p w:rsidR="00C63141" w:rsidP="00C63141">
      <w:pPr>
        <w:autoSpaceDE w:val="0"/>
        <w:autoSpaceDN w:val="0"/>
        <w:adjustRightInd w:val="0"/>
        <w:spacing w:after="0"/>
        <w:rPr>
          <w:lang w:val="en-US"/>
        </w:rPr>
      </w:pPr>
    </w:p>
    <w:p w:rsidR="00EA4636" w:rsidRPr="00C63141" w:rsidP="00C63141">
      <w:pPr>
        <w:autoSpaceDE w:val="0"/>
        <w:autoSpaceDN w:val="0"/>
        <w:adjustRightInd w:val="0"/>
        <w:spacing w:after="0"/>
        <w:rPr>
          <w:rFonts w:ascii="Verdana" w:hAnsi="Verdana" w:cs="Arial"/>
          <w:bCs/>
          <w:color w:val="183850" w:themeColor="text1"/>
          <w:sz w:val="20"/>
          <w:szCs w:val="20"/>
        </w:rPr>
      </w:pPr>
      <w:r w:rsidRPr="00C63141">
        <w:rPr>
          <w:rFonts w:ascii="Verdana" w:hAnsi="Verdana" w:cs="Arial"/>
          <w:bCs/>
          <w:color w:val="183850" w:themeColor="text1"/>
          <w:sz w:val="20"/>
          <w:szCs w:val="20"/>
        </w:rPr>
        <w:t xml:space="preserve">Further voting against management included 5 instances at </w:t>
      </w:r>
      <w:r>
        <w:rPr>
          <w:rFonts w:ascii="Verdana" w:hAnsi="Verdana" w:cs="Arial"/>
          <w:bCs/>
          <w:color w:val="183850" w:themeColor="text1"/>
          <w:sz w:val="20"/>
          <w:szCs w:val="20"/>
        </w:rPr>
        <w:t xml:space="preserve">the AGM of </w:t>
      </w:r>
      <w:r w:rsidRPr="00C63141">
        <w:rPr>
          <w:rFonts w:ascii="Verdana" w:hAnsi="Verdana" w:cs="Arial"/>
          <w:bCs/>
          <w:color w:val="183850" w:themeColor="text1"/>
          <w:sz w:val="20"/>
          <w:szCs w:val="20"/>
        </w:rPr>
        <w:t>FirstRand (South Africa</w:t>
      </w:r>
      <w:r>
        <w:rPr>
          <w:rFonts w:ascii="Verdana" w:hAnsi="Verdana" w:cs="Arial"/>
          <w:bCs/>
          <w:color w:val="183850" w:themeColor="text1"/>
          <w:sz w:val="20"/>
          <w:szCs w:val="20"/>
        </w:rPr>
        <w:t>n</w:t>
      </w:r>
      <w:r w:rsidRPr="00C63141">
        <w:rPr>
          <w:rFonts w:ascii="Verdana" w:hAnsi="Verdana" w:cs="Arial"/>
          <w:bCs/>
          <w:color w:val="183850" w:themeColor="text1"/>
          <w:sz w:val="20"/>
          <w:szCs w:val="20"/>
        </w:rPr>
        <w:t xml:space="preserve"> financial services provide</w:t>
      </w:r>
      <w:r>
        <w:rPr>
          <w:rFonts w:ascii="Verdana" w:hAnsi="Verdana" w:cs="Arial"/>
          <w:bCs/>
          <w:color w:val="183850" w:themeColor="text1"/>
          <w:sz w:val="20"/>
          <w:szCs w:val="20"/>
        </w:rPr>
        <w:t>r</w:t>
      </w:r>
      <w:r w:rsidRPr="00C63141">
        <w:rPr>
          <w:rFonts w:ascii="Verdana" w:hAnsi="Verdana" w:cs="Arial"/>
          <w:bCs/>
          <w:color w:val="183850" w:themeColor="text1"/>
          <w:sz w:val="20"/>
          <w:szCs w:val="20"/>
        </w:rPr>
        <w:t>) where LPP</w:t>
      </w:r>
      <w:r>
        <w:rPr>
          <w:rFonts w:ascii="Verdana" w:hAnsi="Verdana" w:cs="Arial"/>
          <w:bCs/>
          <w:color w:val="183850" w:themeColor="text1"/>
          <w:sz w:val="20"/>
          <w:szCs w:val="20"/>
        </w:rPr>
        <w:t>:</w:t>
      </w:r>
      <w:r w:rsidRPr="00C63141">
        <w:rPr>
          <w:rFonts w:ascii="Verdana" w:hAnsi="Verdana" w:cs="Arial"/>
          <w:bCs/>
          <w:color w:val="183850" w:themeColor="text1"/>
          <w:sz w:val="20"/>
          <w:szCs w:val="20"/>
        </w:rPr>
        <w:t xml:space="preserve"> </w:t>
      </w:r>
    </w:p>
    <w:p w:rsidR="00EA4636" w:rsidRPr="00C63141" w:rsidP="00C63141">
      <w:pPr>
        <w:pStyle w:val="ListParagraph"/>
        <w:numPr>
          <w:ilvl w:val="0"/>
          <w:numId w:val="33"/>
        </w:numPr>
        <w:autoSpaceDE w:val="0"/>
        <w:autoSpaceDN w:val="0"/>
        <w:adjustRightInd w:val="0"/>
        <w:spacing w:after="0"/>
        <w:ind w:left="426" w:hanging="426"/>
        <w:rPr>
          <w:rFonts w:ascii="Verdana" w:hAnsi="Verdana" w:cs="Arial"/>
          <w:bCs/>
          <w:color w:val="183850" w:themeColor="text1"/>
          <w:sz w:val="20"/>
          <w:szCs w:val="20"/>
        </w:rPr>
      </w:pPr>
      <w:r w:rsidRPr="00C63141">
        <w:rPr>
          <w:rFonts w:ascii="Verdana" w:hAnsi="Verdana" w:cs="Arial"/>
          <w:bCs/>
          <w:color w:val="183850" w:themeColor="text1"/>
          <w:sz w:val="20"/>
          <w:szCs w:val="20"/>
        </w:rPr>
        <w:t xml:space="preserve">Voted against the </w:t>
      </w:r>
      <w:r w:rsidRPr="00C63141">
        <w:rPr>
          <w:rFonts w:ascii="Verdana" w:hAnsi="Verdana" w:cs="Arial"/>
          <w:bCs/>
          <w:color w:val="183850" w:themeColor="text1"/>
          <w:sz w:val="20"/>
          <w:szCs w:val="20"/>
        </w:rPr>
        <w:t>election/</w:t>
      </w:r>
      <w:r w:rsidRPr="00C63141">
        <w:rPr>
          <w:rFonts w:ascii="Verdana" w:hAnsi="Verdana" w:cs="Arial"/>
          <w:bCs/>
          <w:color w:val="183850" w:themeColor="text1"/>
          <w:sz w:val="20"/>
          <w:szCs w:val="20"/>
        </w:rPr>
        <w:t xml:space="preserve">re-election of </w:t>
      </w:r>
      <w:r w:rsidRPr="00C63141">
        <w:rPr>
          <w:rFonts w:ascii="Verdana" w:hAnsi="Verdana" w:cs="Arial"/>
          <w:bCs/>
          <w:color w:val="183850" w:themeColor="text1"/>
          <w:sz w:val="20"/>
          <w:szCs w:val="20"/>
        </w:rPr>
        <w:t>2</w:t>
      </w:r>
      <w:r w:rsidRPr="00C63141">
        <w:rPr>
          <w:rFonts w:ascii="Verdana" w:hAnsi="Verdana" w:cs="Arial"/>
          <w:bCs/>
          <w:color w:val="183850" w:themeColor="text1"/>
          <w:sz w:val="20"/>
          <w:szCs w:val="20"/>
        </w:rPr>
        <w:t xml:space="preserve"> non-independent non-executive directors </w:t>
      </w:r>
      <w:r w:rsidRPr="00C63141">
        <w:rPr>
          <w:rFonts w:ascii="Verdana" w:hAnsi="Verdana" w:cs="Arial"/>
          <w:bCs/>
          <w:color w:val="183850" w:themeColor="text1"/>
          <w:sz w:val="20"/>
          <w:szCs w:val="20"/>
        </w:rPr>
        <w:t xml:space="preserve">(NED) </w:t>
      </w:r>
      <w:r w:rsidRPr="00C63141">
        <w:rPr>
          <w:rFonts w:ascii="Verdana" w:hAnsi="Verdana" w:cs="Arial"/>
          <w:bCs/>
          <w:color w:val="183850" w:themeColor="text1"/>
          <w:sz w:val="20"/>
          <w:szCs w:val="20"/>
        </w:rPr>
        <w:t>because the</w:t>
      </w:r>
      <w:r w:rsidRPr="00C63141">
        <w:rPr>
          <w:rFonts w:ascii="Verdana" w:hAnsi="Verdana" w:cs="Arial"/>
          <w:bCs/>
          <w:color w:val="183850" w:themeColor="text1"/>
          <w:sz w:val="20"/>
          <w:szCs w:val="20"/>
        </w:rPr>
        <w:t xml:space="preserve"> Board has no majority of independent N</w:t>
      </w:r>
      <w:r w:rsidRPr="00C63141">
        <w:rPr>
          <w:rFonts w:ascii="Verdana" w:hAnsi="Verdana" w:cs="Arial"/>
          <w:bCs/>
          <w:color w:val="183850" w:themeColor="text1"/>
          <w:sz w:val="20"/>
          <w:szCs w:val="20"/>
        </w:rPr>
        <w:t>on-</w:t>
      </w:r>
      <w:r w:rsidRPr="00C63141">
        <w:rPr>
          <w:rFonts w:ascii="Verdana" w:hAnsi="Verdana" w:cs="Arial"/>
          <w:bCs/>
          <w:color w:val="183850" w:themeColor="text1"/>
          <w:sz w:val="20"/>
          <w:szCs w:val="20"/>
        </w:rPr>
        <w:t>E</w:t>
      </w:r>
      <w:r w:rsidRPr="00C63141">
        <w:rPr>
          <w:rFonts w:ascii="Verdana" w:hAnsi="Verdana" w:cs="Arial"/>
          <w:bCs/>
          <w:color w:val="183850" w:themeColor="text1"/>
          <w:sz w:val="20"/>
          <w:szCs w:val="20"/>
        </w:rPr>
        <w:t xml:space="preserve">xecutive </w:t>
      </w:r>
      <w:r w:rsidRPr="00C63141">
        <w:rPr>
          <w:rFonts w:ascii="Verdana" w:hAnsi="Verdana" w:cs="Arial"/>
          <w:bCs/>
          <w:color w:val="183850" w:themeColor="text1"/>
          <w:sz w:val="20"/>
          <w:szCs w:val="20"/>
        </w:rPr>
        <w:t>D</w:t>
      </w:r>
      <w:r w:rsidRPr="00C63141">
        <w:rPr>
          <w:rFonts w:ascii="Verdana" w:hAnsi="Verdana" w:cs="Arial"/>
          <w:bCs/>
          <w:color w:val="183850" w:themeColor="text1"/>
          <w:sz w:val="20"/>
          <w:szCs w:val="20"/>
        </w:rPr>
        <w:t xml:space="preserve">irectors </w:t>
      </w:r>
      <w:r w:rsidRPr="00C63141">
        <w:rPr>
          <w:rFonts w:ascii="Verdana" w:hAnsi="Verdana" w:cs="Arial"/>
          <w:bCs/>
          <w:color w:val="183850" w:themeColor="text1"/>
          <w:sz w:val="20"/>
          <w:szCs w:val="20"/>
        </w:rPr>
        <w:t>among its NEDs. This recognised that the absence of an independent majority increases the potential for the Board to be ineffective in overseeing the executive management of the Company</w:t>
      </w:r>
      <w:r>
        <w:rPr>
          <w:rFonts w:ascii="Verdana" w:hAnsi="Verdana" w:cs="Arial"/>
          <w:bCs/>
          <w:color w:val="183850" w:themeColor="text1"/>
          <w:sz w:val="20"/>
          <w:szCs w:val="20"/>
        </w:rPr>
        <w:t>;</w:t>
      </w:r>
    </w:p>
    <w:p w:rsidR="00EA4636" w:rsidRPr="00C63141" w:rsidP="00C63141">
      <w:pPr>
        <w:pStyle w:val="ListParagraph"/>
        <w:numPr>
          <w:ilvl w:val="0"/>
          <w:numId w:val="33"/>
        </w:numPr>
        <w:autoSpaceDE w:val="0"/>
        <w:autoSpaceDN w:val="0"/>
        <w:adjustRightInd w:val="0"/>
        <w:spacing w:after="0"/>
        <w:ind w:left="426" w:hanging="426"/>
        <w:rPr>
          <w:rFonts w:ascii="Verdana" w:hAnsi="Verdana" w:cs="Arial"/>
          <w:bCs/>
          <w:color w:val="183850" w:themeColor="text1"/>
          <w:sz w:val="20"/>
          <w:szCs w:val="20"/>
        </w:rPr>
      </w:pPr>
      <w:r w:rsidRPr="00C63141">
        <w:rPr>
          <w:rFonts w:ascii="Verdana" w:hAnsi="Verdana" w:cs="Arial"/>
          <w:bCs/>
          <w:color w:val="183850" w:themeColor="text1"/>
          <w:sz w:val="20"/>
          <w:szCs w:val="20"/>
        </w:rPr>
        <w:t>Voted a</w:t>
      </w:r>
      <w:r w:rsidRPr="00C63141">
        <w:rPr>
          <w:rFonts w:ascii="Verdana" w:hAnsi="Verdana" w:cs="Arial"/>
          <w:bCs/>
          <w:color w:val="183850" w:themeColor="text1"/>
          <w:sz w:val="20"/>
          <w:szCs w:val="20"/>
        </w:rPr>
        <w:t xml:space="preserve">gainst the Remuneration Policy and Policy Implementation Report because of a lack of clarity on the mechanics of the </w:t>
      </w:r>
      <w:r w:rsidRPr="00C63141">
        <w:rPr>
          <w:rFonts w:ascii="Verdana" w:hAnsi="Verdana" w:cs="Arial"/>
          <w:bCs/>
          <w:color w:val="183850" w:themeColor="text1"/>
          <w:sz w:val="20"/>
          <w:szCs w:val="20"/>
        </w:rPr>
        <w:t xml:space="preserve">long-term remuneration </w:t>
      </w:r>
      <w:r w:rsidRPr="00C63141">
        <w:rPr>
          <w:rFonts w:ascii="Verdana" w:hAnsi="Verdana" w:cs="Arial"/>
          <w:bCs/>
          <w:color w:val="183850" w:themeColor="text1"/>
          <w:sz w:val="20"/>
          <w:szCs w:val="20"/>
        </w:rPr>
        <w:t>scheme and scope for improvement on bonus disclosures</w:t>
      </w:r>
      <w:r>
        <w:rPr>
          <w:rFonts w:ascii="Verdana" w:hAnsi="Verdana" w:cs="Arial"/>
          <w:bCs/>
          <w:color w:val="183850" w:themeColor="text1"/>
          <w:sz w:val="20"/>
          <w:szCs w:val="20"/>
        </w:rPr>
        <w:t>;</w:t>
      </w:r>
    </w:p>
    <w:p w:rsidR="00EA4636" w:rsidRPr="00C63141" w:rsidP="00C63141">
      <w:pPr>
        <w:pStyle w:val="ListParagraph"/>
        <w:numPr>
          <w:ilvl w:val="0"/>
          <w:numId w:val="33"/>
        </w:numPr>
        <w:autoSpaceDE w:val="0"/>
        <w:autoSpaceDN w:val="0"/>
        <w:adjustRightInd w:val="0"/>
        <w:spacing w:after="0"/>
        <w:ind w:left="426" w:hanging="426"/>
        <w:rPr>
          <w:rFonts w:ascii="Verdana" w:hAnsi="Verdana" w:cs="Arial"/>
          <w:bCs/>
          <w:color w:val="183850" w:themeColor="text1"/>
          <w:sz w:val="20"/>
          <w:szCs w:val="20"/>
        </w:rPr>
      </w:pPr>
      <w:r w:rsidRPr="00C63141">
        <w:rPr>
          <w:rFonts w:ascii="Verdana" w:hAnsi="Verdana" w:cs="Arial"/>
          <w:bCs/>
          <w:color w:val="183850" w:themeColor="text1"/>
          <w:sz w:val="20"/>
          <w:szCs w:val="20"/>
        </w:rPr>
        <w:t>Voted against approving Financial Assistance to Directors/Off</w:t>
      </w:r>
      <w:r w:rsidRPr="00C63141">
        <w:rPr>
          <w:rFonts w:ascii="Verdana" w:hAnsi="Verdana" w:cs="Arial"/>
          <w:bCs/>
          <w:color w:val="183850" w:themeColor="text1"/>
          <w:sz w:val="20"/>
          <w:szCs w:val="20"/>
        </w:rPr>
        <w:t xml:space="preserve">icers as Employee Share Scheme beneficiaries because of </w:t>
      </w:r>
      <w:r w:rsidRPr="00C63141">
        <w:rPr>
          <w:rFonts w:ascii="Verdana" w:hAnsi="Verdana" w:cs="Arial"/>
          <w:bCs/>
          <w:color w:val="183850" w:themeColor="text1"/>
          <w:sz w:val="20"/>
          <w:szCs w:val="20"/>
        </w:rPr>
        <w:t xml:space="preserve">a lack of clarity about scheme facilitation and </w:t>
      </w:r>
      <w:r w:rsidRPr="00C63141">
        <w:rPr>
          <w:rFonts w:ascii="Verdana" w:hAnsi="Verdana" w:cs="Arial"/>
          <w:bCs/>
          <w:color w:val="183850" w:themeColor="text1"/>
          <w:sz w:val="20"/>
          <w:szCs w:val="20"/>
        </w:rPr>
        <w:t xml:space="preserve">the possibility that the company was making loans to directors to enable </w:t>
      </w:r>
      <w:r w:rsidRPr="00C63141">
        <w:rPr>
          <w:rFonts w:ascii="Verdana" w:hAnsi="Verdana" w:cs="Arial"/>
          <w:bCs/>
          <w:color w:val="183850" w:themeColor="text1"/>
          <w:sz w:val="20"/>
          <w:szCs w:val="20"/>
        </w:rPr>
        <w:t xml:space="preserve">their </w:t>
      </w:r>
      <w:r w:rsidRPr="00C63141">
        <w:rPr>
          <w:rFonts w:ascii="Verdana" w:hAnsi="Verdana" w:cs="Arial"/>
          <w:bCs/>
          <w:color w:val="183850" w:themeColor="text1"/>
          <w:sz w:val="20"/>
          <w:szCs w:val="20"/>
        </w:rPr>
        <w:t>participation</w:t>
      </w:r>
      <w:r w:rsidRPr="00C63141">
        <w:rPr>
          <w:rFonts w:ascii="Verdana" w:hAnsi="Verdana" w:cs="Arial"/>
          <w:bCs/>
          <w:color w:val="183850" w:themeColor="text1"/>
          <w:sz w:val="20"/>
          <w:szCs w:val="20"/>
        </w:rPr>
        <w:t>.</w:t>
      </w:r>
    </w:p>
    <w:p w:rsidR="00C63141" w:rsidP="00C63141">
      <w:pPr>
        <w:autoSpaceDE w:val="0"/>
        <w:autoSpaceDN w:val="0"/>
        <w:adjustRightInd w:val="0"/>
        <w:spacing w:after="0"/>
        <w:rPr>
          <w:rFonts w:ascii="Verdana" w:hAnsi="Verdana" w:cs="Arial"/>
          <w:bCs/>
          <w:color w:val="183850" w:themeColor="text1"/>
          <w:sz w:val="20"/>
          <w:szCs w:val="20"/>
        </w:rPr>
      </w:pPr>
      <w:r w:rsidRPr="00C63141">
        <w:rPr>
          <w:rFonts w:ascii="Verdana" w:hAnsi="Verdana" w:cs="Arial"/>
          <w:bCs/>
          <w:color w:val="183850" w:themeColor="text1"/>
          <w:sz w:val="20"/>
          <w:szCs w:val="20"/>
        </w:rPr>
        <w:t xml:space="preserve">Meeting results confirm that all </w:t>
      </w:r>
      <w:r>
        <w:rPr>
          <w:rFonts w:ascii="Verdana" w:hAnsi="Verdana" w:cs="Arial"/>
          <w:bCs/>
          <w:color w:val="183850" w:themeColor="text1"/>
          <w:sz w:val="20"/>
          <w:szCs w:val="20"/>
        </w:rPr>
        <w:t xml:space="preserve">these </w:t>
      </w:r>
      <w:r w:rsidRPr="00C63141">
        <w:rPr>
          <w:rFonts w:ascii="Verdana" w:hAnsi="Verdana" w:cs="Arial"/>
          <w:bCs/>
          <w:color w:val="183850" w:themeColor="text1"/>
          <w:sz w:val="20"/>
          <w:szCs w:val="20"/>
        </w:rPr>
        <w:t>resolutions passed</w:t>
      </w:r>
      <w:r>
        <w:rPr>
          <w:rFonts w:ascii="Verdana" w:hAnsi="Verdana" w:cs="Arial"/>
          <w:bCs/>
          <w:color w:val="183850" w:themeColor="text1"/>
          <w:sz w:val="20"/>
          <w:szCs w:val="20"/>
        </w:rPr>
        <w:t>.</w:t>
      </w:r>
      <w:r w:rsidRPr="00C63141">
        <w:rPr>
          <w:rFonts w:ascii="Verdana" w:hAnsi="Verdana" w:cs="Arial"/>
          <w:bCs/>
          <w:color w:val="183850" w:themeColor="text1"/>
          <w:sz w:val="20"/>
          <w:szCs w:val="20"/>
        </w:rPr>
        <w:t xml:space="preserve"> </w:t>
      </w:r>
      <w:r>
        <w:rPr>
          <w:rFonts w:ascii="Verdana" w:hAnsi="Verdana" w:cs="Arial"/>
          <w:bCs/>
          <w:color w:val="183850" w:themeColor="text1"/>
          <w:sz w:val="20"/>
          <w:szCs w:val="20"/>
        </w:rPr>
        <w:t xml:space="preserve">Shareholder </w:t>
      </w:r>
      <w:r w:rsidRPr="00C63141">
        <w:rPr>
          <w:rFonts w:ascii="Verdana" w:hAnsi="Verdana" w:cs="Arial"/>
          <w:bCs/>
          <w:color w:val="183850" w:themeColor="text1"/>
          <w:sz w:val="20"/>
          <w:szCs w:val="20"/>
        </w:rPr>
        <w:t xml:space="preserve">opposition </w:t>
      </w:r>
      <w:r>
        <w:rPr>
          <w:rFonts w:ascii="Verdana" w:hAnsi="Verdana" w:cs="Arial"/>
          <w:bCs/>
          <w:color w:val="183850" w:themeColor="text1"/>
          <w:sz w:val="20"/>
          <w:szCs w:val="20"/>
        </w:rPr>
        <w:t xml:space="preserve">was highest in relation to </w:t>
      </w:r>
      <w:r w:rsidRPr="00C63141">
        <w:rPr>
          <w:rFonts w:ascii="Verdana" w:hAnsi="Verdana" w:cs="Arial"/>
          <w:bCs/>
          <w:color w:val="183850" w:themeColor="text1"/>
          <w:sz w:val="20"/>
          <w:szCs w:val="20"/>
        </w:rPr>
        <w:t xml:space="preserve">the remuneration policy </w:t>
      </w:r>
      <w:r>
        <w:rPr>
          <w:rFonts w:ascii="Verdana" w:hAnsi="Verdana" w:cs="Arial"/>
          <w:bCs/>
          <w:color w:val="183850" w:themeColor="text1"/>
          <w:sz w:val="20"/>
          <w:szCs w:val="20"/>
        </w:rPr>
        <w:t>where dissent was</w:t>
      </w:r>
      <w:r w:rsidRPr="00C63141">
        <w:rPr>
          <w:rFonts w:ascii="Verdana" w:hAnsi="Verdana" w:cs="Arial"/>
          <w:bCs/>
          <w:color w:val="183850" w:themeColor="text1"/>
          <w:sz w:val="20"/>
          <w:szCs w:val="20"/>
        </w:rPr>
        <w:t xml:space="preserve"> 19%</w:t>
      </w:r>
      <w:r>
        <w:rPr>
          <w:rFonts w:ascii="Verdana" w:hAnsi="Verdana" w:cs="Arial"/>
          <w:bCs/>
          <w:color w:val="183850" w:themeColor="text1"/>
          <w:sz w:val="20"/>
          <w:szCs w:val="20"/>
        </w:rPr>
        <w:t>.</w:t>
      </w:r>
    </w:p>
    <w:p w:rsidR="00C63141" w:rsidRPr="00C63141" w:rsidP="00C63141">
      <w:pPr>
        <w:autoSpaceDE w:val="0"/>
        <w:autoSpaceDN w:val="0"/>
        <w:adjustRightInd w:val="0"/>
        <w:spacing w:after="0"/>
        <w:rPr>
          <w:rFonts w:ascii="Verdana" w:hAnsi="Verdana" w:cs="Arial"/>
          <w:bCs/>
          <w:color w:val="183850" w:themeColor="text1"/>
          <w:sz w:val="20"/>
          <w:szCs w:val="20"/>
        </w:rPr>
      </w:pPr>
    </w:p>
    <w:p w:rsidR="00C63141" w:rsidP="00C63141">
      <w:pPr>
        <w:spacing w:after="0"/>
        <w:rPr>
          <w:rFonts w:ascii="Verdana" w:hAnsi="Verdana"/>
          <w:snapToGrid w:val="0"/>
          <w:color w:val="183850" w:themeColor="text1"/>
          <w:sz w:val="20"/>
          <w:szCs w:val="20"/>
        </w:rPr>
      </w:pPr>
      <w:r>
        <w:rPr>
          <w:rFonts w:ascii="Verdana" w:hAnsi="Verdana"/>
          <w:snapToGrid w:val="0"/>
          <w:color w:val="183850" w:themeColor="text1"/>
          <w:sz w:val="20"/>
          <w:szCs w:val="20"/>
        </w:rPr>
        <w:t xml:space="preserve">In addition to supporting the </w:t>
      </w:r>
      <w:r>
        <w:rPr>
          <w:rFonts w:ascii="Verdana" w:hAnsi="Verdana"/>
          <w:snapToGrid w:val="0"/>
          <w:color w:val="183850" w:themeColor="text1"/>
          <w:sz w:val="20"/>
          <w:szCs w:val="20"/>
        </w:rPr>
        <w:t xml:space="preserve">dissident </w:t>
      </w:r>
      <w:r>
        <w:rPr>
          <w:rFonts w:ascii="Verdana" w:hAnsi="Verdana"/>
          <w:snapToGrid w:val="0"/>
          <w:color w:val="183850" w:themeColor="text1"/>
          <w:sz w:val="20"/>
          <w:szCs w:val="20"/>
        </w:rPr>
        <w:t xml:space="preserve">card </w:t>
      </w:r>
      <w:r>
        <w:rPr>
          <w:rFonts w:ascii="Verdana" w:hAnsi="Verdana"/>
          <w:snapToGrid w:val="0"/>
          <w:color w:val="183850" w:themeColor="text1"/>
          <w:sz w:val="20"/>
          <w:szCs w:val="20"/>
        </w:rPr>
        <w:t xml:space="preserve">at </w:t>
      </w:r>
      <w:r>
        <w:rPr>
          <w:rFonts w:ascii="Verdana" w:hAnsi="Verdana"/>
          <w:snapToGrid w:val="0"/>
          <w:color w:val="183850" w:themeColor="text1"/>
          <w:sz w:val="20"/>
          <w:szCs w:val="20"/>
        </w:rPr>
        <w:t xml:space="preserve">the </w:t>
      </w:r>
      <w:r>
        <w:rPr>
          <w:rFonts w:ascii="Verdana" w:hAnsi="Verdana"/>
          <w:snapToGrid w:val="0"/>
          <w:color w:val="183850" w:themeColor="text1"/>
          <w:sz w:val="20"/>
          <w:szCs w:val="20"/>
        </w:rPr>
        <w:t>Proct</w:t>
      </w:r>
      <w:r>
        <w:rPr>
          <w:rFonts w:ascii="Verdana" w:hAnsi="Verdana"/>
          <w:snapToGrid w:val="0"/>
          <w:color w:val="183850" w:themeColor="text1"/>
          <w:sz w:val="20"/>
          <w:szCs w:val="20"/>
        </w:rPr>
        <w:t>e</w:t>
      </w:r>
      <w:r>
        <w:rPr>
          <w:rFonts w:ascii="Verdana" w:hAnsi="Verdana"/>
          <w:snapToGrid w:val="0"/>
          <w:color w:val="183850" w:themeColor="text1"/>
          <w:sz w:val="20"/>
          <w:szCs w:val="20"/>
        </w:rPr>
        <w:t>r and Gamble</w:t>
      </w:r>
      <w:r>
        <w:rPr>
          <w:rFonts w:ascii="Verdana" w:hAnsi="Verdana"/>
          <w:snapToGrid w:val="0"/>
          <w:color w:val="183850" w:themeColor="text1"/>
          <w:sz w:val="20"/>
          <w:szCs w:val="20"/>
        </w:rPr>
        <w:t xml:space="preserve"> proxy contest,</w:t>
      </w:r>
      <w:r w:rsidRPr="00C63141">
        <w:rPr>
          <w:rFonts w:ascii="Verdana" w:hAnsi="Verdana"/>
          <w:snapToGrid w:val="0"/>
          <w:color w:val="183850" w:themeColor="text1"/>
          <w:sz w:val="20"/>
          <w:szCs w:val="20"/>
        </w:rPr>
        <w:t xml:space="preserve"> </w:t>
      </w:r>
      <w:r>
        <w:rPr>
          <w:rFonts w:ascii="Verdana" w:hAnsi="Verdana"/>
          <w:snapToGrid w:val="0"/>
          <w:color w:val="183850" w:themeColor="text1"/>
          <w:sz w:val="20"/>
          <w:szCs w:val="20"/>
        </w:rPr>
        <w:t xml:space="preserve">LPP also supported a Shareholder resolution </w:t>
      </w:r>
      <w:r>
        <w:rPr>
          <w:rFonts w:ascii="Verdana" w:hAnsi="Verdana"/>
          <w:snapToGrid w:val="0"/>
          <w:color w:val="183850" w:themeColor="text1"/>
          <w:sz w:val="20"/>
          <w:szCs w:val="20"/>
        </w:rPr>
        <w:t xml:space="preserve">at the meeting </w:t>
      </w:r>
      <w:r w:rsidRPr="00C63141">
        <w:rPr>
          <w:rFonts w:ascii="Verdana" w:hAnsi="Verdana"/>
          <w:snapToGrid w:val="0"/>
          <w:color w:val="183850" w:themeColor="text1"/>
          <w:sz w:val="20"/>
          <w:szCs w:val="20"/>
        </w:rPr>
        <w:t>seeking a report to shareholders on the company’s approach, above and beyond legal compliance, to mitigating the heightened ethical and business risks associated with procurement and other activities in conflict-affected areas, including situations of occu</w:t>
      </w:r>
      <w:r w:rsidRPr="00C63141">
        <w:rPr>
          <w:rFonts w:ascii="Verdana" w:hAnsi="Verdana"/>
          <w:snapToGrid w:val="0"/>
          <w:color w:val="183850" w:themeColor="text1"/>
          <w:sz w:val="20"/>
          <w:szCs w:val="20"/>
        </w:rPr>
        <w:t xml:space="preserve">pation. </w:t>
      </w:r>
      <w:r>
        <w:rPr>
          <w:rFonts w:ascii="Verdana" w:hAnsi="Verdana"/>
          <w:snapToGrid w:val="0"/>
          <w:color w:val="183850" w:themeColor="text1"/>
          <w:sz w:val="20"/>
          <w:szCs w:val="20"/>
        </w:rPr>
        <w:t xml:space="preserve">Support reflected that </w:t>
      </w:r>
      <w:r w:rsidRPr="00C63141">
        <w:rPr>
          <w:rFonts w:ascii="Verdana" w:hAnsi="Verdana"/>
          <w:snapToGrid w:val="0"/>
          <w:color w:val="183850" w:themeColor="text1"/>
          <w:sz w:val="20"/>
          <w:szCs w:val="20"/>
        </w:rPr>
        <w:t xml:space="preserve">shareholders would benefit from additional information regarding how the company is evaluating and managing operational risks that have the potential to negatively affect shareholder value. </w:t>
      </w:r>
      <w:r>
        <w:rPr>
          <w:rFonts w:ascii="Verdana" w:hAnsi="Verdana"/>
          <w:snapToGrid w:val="0"/>
          <w:color w:val="183850" w:themeColor="text1"/>
          <w:sz w:val="20"/>
          <w:szCs w:val="20"/>
        </w:rPr>
        <w:t>The resolution was rejected after r</w:t>
      </w:r>
      <w:r>
        <w:rPr>
          <w:rFonts w:ascii="Verdana" w:hAnsi="Verdana"/>
          <w:snapToGrid w:val="0"/>
          <w:color w:val="183850" w:themeColor="text1"/>
          <w:sz w:val="20"/>
          <w:szCs w:val="20"/>
        </w:rPr>
        <w:t xml:space="preserve">eceiving </w:t>
      </w:r>
      <w:r>
        <w:rPr>
          <w:rFonts w:ascii="Verdana" w:hAnsi="Verdana"/>
          <w:snapToGrid w:val="0"/>
          <w:color w:val="183850" w:themeColor="text1"/>
          <w:sz w:val="20"/>
          <w:szCs w:val="20"/>
        </w:rPr>
        <w:t xml:space="preserve">just </w:t>
      </w:r>
      <w:r>
        <w:rPr>
          <w:rFonts w:ascii="Verdana" w:hAnsi="Verdana"/>
          <w:snapToGrid w:val="0"/>
          <w:color w:val="183850" w:themeColor="text1"/>
          <w:sz w:val="20"/>
          <w:szCs w:val="20"/>
        </w:rPr>
        <w:t>9% support.</w:t>
      </w:r>
    </w:p>
    <w:p w:rsidR="00C63141" w:rsidP="00C63141">
      <w:pPr>
        <w:spacing w:after="0"/>
        <w:rPr>
          <w:rFonts w:ascii="Verdana" w:hAnsi="Verdana"/>
          <w:snapToGrid w:val="0"/>
          <w:color w:val="183850" w:themeColor="text1"/>
          <w:sz w:val="20"/>
          <w:szCs w:val="20"/>
        </w:rPr>
      </w:pPr>
    </w:p>
    <w:p w:rsidR="00EA4636" w:rsidRPr="008E5AE6" w:rsidP="00C63141">
      <w:pPr>
        <w:spacing w:after="0"/>
        <w:rPr>
          <w:rFonts w:ascii="Verdana" w:hAnsi="Verdana"/>
          <w:snapToGrid w:val="0"/>
          <w:color w:val="183850" w:themeColor="text1"/>
          <w:sz w:val="20"/>
          <w:szCs w:val="20"/>
        </w:rPr>
      </w:pPr>
      <w:r>
        <w:rPr>
          <w:rFonts w:ascii="Verdana" w:hAnsi="Verdana"/>
          <w:snapToGrid w:val="0"/>
          <w:color w:val="183850" w:themeColor="text1"/>
          <w:sz w:val="20"/>
          <w:szCs w:val="20"/>
        </w:rPr>
        <w:t>Other shareholder resolutions gaining support covered relatively familiar territory</w:t>
      </w:r>
      <w:r>
        <w:rPr>
          <w:rFonts w:ascii="Verdana" w:hAnsi="Verdana"/>
          <w:snapToGrid w:val="0"/>
          <w:color w:val="183850" w:themeColor="text1"/>
          <w:sz w:val="20"/>
          <w:szCs w:val="20"/>
        </w:rPr>
        <w:t>, featuring</w:t>
      </w:r>
      <w:r w:rsidRPr="00C63141">
        <w:rPr>
          <w:rFonts w:ascii="Verdana" w:hAnsi="Verdana"/>
          <w:snapToGrid w:val="0"/>
          <w:color w:val="183850" w:themeColor="text1"/>
          <w:sz w:val="20"/>
          <w:szCs w:val="20"/>
        </w:rPr>
        <w:t xml:space="preserve"> </w:t>
      </w:r>
      <w:r>
        <w:rPr>
          <w:rFonts w:ascii="Verdana" w:hAnsi="Verdana"/>
          <w:snapToGrid w:val="0"/>
          <w:color w:val="183850" w:themeColor="text1"/>
          <w:sz w:val="20"/>
          <w:szCs w:val="20"/>
        </w:rPr>
        <w:t xml:space="preserve">issues of </w:t>
      </w:r>
      <w:r>
        <w:rPr>
          <w:rFonts w:ascii="Verdana" w:hAnsi="Verdana"/>
          <w:snapToGrid w:val="0"/>
          <w:color w:val="183850" w:themeColor="text1"/>
          <w:sz w:val="20"/>
          <w:szCs w:val="20"/>
        </w:rPr>
        <w:t xml:space="preserve">governance and shareholder influence. A resolution seeking </w:t>
      </w:r>
      <w:r>
        <w:rPr>
          <w:rFonts w:ascii="Verdana" w:hAnsi="Verdana"/>
          <w:snapToGrid w:val="0"/>
          <w:color w:val="183850" w:themeColor="text1"/>
          <w:sz w:val="20"/>
          <w:szCs w:val="20"/>
        </w:rPr>
        <w:t>to limit the accelerated vesting of equity awards in the event of</w:t>
      </w:r>
      <w:r>
        <w:rPr>
          <w:rFonts w:ascii="Verdana" w:hAnsi="Verdana"/>
          <w:snapToGrid w:val="0"/>
          <w:color w:val="183850" w:themeColor="text1"/>
          <w:sz w:val="20"/>
          <w:szCs w:val="20"/>
        </w:rPr>
        <w:t xml:space="preserve"> a change of control was supported at Sysco Corp (US food services </w:t>
      </w:r>
      <w:r w:rsidRPr="00C63141">
        <w:rPr>
          <w:rFonts w:ascii="Verdana" w:hAnsi="Verdana"/>
          <w:snapToGrid w:val="0"/>
          <w:color w:val="183850" w:themeColor="text1"/>
          <w:sz w:val="20"/>
          <w:szCs w:val="20"/>
        </w:rPr>
        <w:t>distribution company)</w:t>
      </w:r>
      <w:r>
        <w:rPr>
          <w:rFonts w:ascii="Verdana" w:hAnsi="Verdana"/>
          <w:snapToGrid w:val="0"/>
          <w:color w:val="183850" w:themeColor="text1"/>
          <w:sz w:val="20"/>
          <w:szCs w:val="20"/>
        </w:rPr>
        <w:t>. This</w:t>
      </w:r>
      <w:r>
        <w:rPr>
          <w:rFonts w:ascii="Verdana" w:hAnsi="Verdana"/>
          <w:snapToGrid w:val="0"/>
          <w:color w:val="183850" w:themeColor="text1"/>
          <w:sz w:val="20"/>
          <w:szCs w:val="20"/>
        </w:rPr>
        <w:t xml:space="preserve"> failed with 36% support. Another seeking </w:t>
      </w:r>
      <w:r>
        <w:rPr>
          <w:rFonts w:ascii="Verdana" w:hAnsi="Verdana"/>
          <w:snapToGrid w:val="0"/>
          <w:color w:val="183850" w:themeColor="text1"/>
          <w:sz w:val="20"/>
          <w:szCs w:val="20"/>
        </w:rPr>
        <w:t>to extend proxy access was supported at Clorox Company (US consumer goods) but failed with 33% support</w:t>
      </w:r>
      <w:r>
        <w:rPr>
          <w:rFonts w:ascii="Verdana" w:hAnsi="Verdana"/>
          <w:snapToGrid w:val="0"/>
          <w:color w:val="183850" w:themeColor="text1"/>
          <w:sz w:val="20"/>
          <w:szCs w:val="20"/>
        </w:rPr>
        <w:t>.</w:t>
      </w:r>
      <w:r w:rsidRPr="00635E0B">
        <w:rPr>
          <w:rFonts w:ascii="Verdana" w:hAnsi="Verdana"/>
          <w:snapToGrid w:val="0"/>
          <w:color w:val="183850" w:themeColor="text1"/>
          <w:sz w:val="20"/>
          <w:szCs w:val="20"/>
        </w:rPr>
        <w:t xml:space="preserve"> Proxy access is </w:t>
      </w:r>
      <w:r w:rsidRPr="00635E0B">
        <w:rPr>
          <w:rFonts w:ascii="Verdana" w:hAnsi="Verdana"/>
          <w:snapToGrid w:val="0"/>
          <w:color w:val="183850" w:themeColor="text1"/>
          <w:sz w:val="20"/>
          <w:szCs w:val="20"/>
        </w:rPr>
        <w:t>shorthand for the ability of a long-term shareowner (or a group of long-term shareowners) to place a limited number of alternative board candidates on the company's proxy</w:t>
      </w:r>
      <w:r>
        <w:rPr>
          <w:rFonts w:ascii="Verdana" w:hAnsi="Verdana"/>
          <w:snapToGrid w:val="0"/>
          <w:color w:val="183850" w:themeColor="text1"/>
          <w:sz w:val="20"/>
          <w:szCs w:val="20"/>
        </w:rPr>
        <w:t xml:space="preserve"> </w:t>
      </w:r>
      <w:r w:rsidRPr="00635E0B">
        <w:rPr>
          <w:rFonts w:ascii="Verdana" w:hAnsi="Verdana"/>
          <w:snapToGrid w:val="0"/>
          <w:color w:val="183850" w:themeColor="text1"/>
          <w:sz w:val="20"/>
          <w:szCs w:val="20"/>
        </w:rPr>
        <w:t>card (ballot) for the company's annual shareowner meeting.</w:t>
      </w:r>
    </w:p>
    <w:p w:rsidR="00EA4636" w:rsidRPr="00C63141" w:rsidP="00C63141">
      <w:pPr>
        <w:spacing w:after="0"/>
        <w:rPr>
          <w:rFonts w:ascii="Verdana" w:hAnsi="Verdana"/>
          <w:snapToGrid w:val="0"/>
          <w:color w:val="183850" w:themeColor="text1"/>
          <w:sz w:val="20"/>
          <w:szCs w:val="20"/>
        </w:rPr>
      </w:pPr>
    </w:p>
    <w:p w:rsidR="00C63141" w:rsidP="002D14BD">
      <w:pPr>
        <w:autoSpaceDE w:val="0"/>
        <w:autoSpaceDN w:val="0"/>
        <w:adjustRightInd w:val="0"/>
        <w:spacing w:after="0"/>
        <w:rPr>
          <w:rFonts w:ascii="Verdana" w:hAnsi="Verdana" w:cs="Arial"/>
          <w:bCs/>
          <w:color w:val="183850" w:themeColor="text1"/>
          <w:sz w:val="20"/>
          <w:szCs w:val="20"/>
        </w:rPr>
      </w:pPr>
      <w:r>
        <w:rPr>
          <w:rFonts w:ascii="Verdana" w:hAnsi="Verdana" w:cs="Arial"/>
          <w:bCs/>
          <w:color w:val="183850" w:themeColor="text1"/>
          <w:sz w:val="20"/>
          <w:szCs w:val="20"/>
        </w:rPr>
        <w:t xml:space="preserve">Q4 saw just one shareholder resolution on an environmental theme.  This was at the AGM of Commonwealth Bank of Australia (multi-national banking) where the proposal was to </w:t>
      </w:r>
      <w:r w:rsidRPr="00C63141">
        <w:rPr>
          <w:rFonts w:ascii="Verdana" w:hAnsi="Verdana" w:cs="Arial"/>
          <w:bCs/>
          <w:color w:val="183850" w:themeColor="text1"/>
          <w:sz w:val="20"/>
          <w:szCs w:val="20"/>
        </w:rPr>
        <w:t>insert a new provision in</w:t>
      </w:r>
      <w:r>
        <w:rPr>
          <w:rFonts w:ascii="Verdana" w:hAnsi="Verdana" w:cs="Arial"/>
          <w:bCs/>
          <w:color w:val="183850" w:themeColor="text1"/>
          <w:sz w:val="20"/>
          <w:szCs w:val="20"/>
        </w:rPr>
        <w:t>to</w:t>
      </w:r>
      <w:r w:rsidRPr="00C63141">
        <w:rPr>
          <w:rFonts w:ascii="Verdana" w:hAnsi="Verdana" w:cs="Arial"/>
          <w:bCs/>
          <w:color w:val="183850" w:themeColor="text1"/>
          <w:sz w:val="20"/>
          <w:szCs w:val="20"/>
        </w:rPr>
        <w:t xml:space="preserve"> the Company’s Constitution requir</w:t>
      </w:r>
      <w:r>
        <w:rPr>
          <w:rFonts w:ascii="Verdana" w:hAnsi="Verdana" w:cs="Arial"/>
          <w:bCs/>
          <w:color w:val="183850" w:themeColor="text1"/>
          <w:sz w:val="20"/>
          <w:szCs w:val="20"/>
        </w:rPr>
        <w:t>ing</w:t>
      </w:r>
      <w:r w:rsidRPr="00C63141">
        <w:rPr>
          <w:rFonts w:ascii="Verdana" w:hAnsi="Verdana" w:cs="Arial"/>
          <w:bCs/>
          <w:color w:val="183850" w:themeColor="text1"/>
          <w:sz w:val="20"/>
          <w:szCs w:val="20"/>
        </w:rPr>
        <w:t xml:space="preserve"> that, in the exerci</w:t>
      </w:r>
      <w:r w:rsidRPr="00C63141">
        <w:rPr>
          <w:rFonts w:ascii="Verdana" w:hAnsi="Verdana" w:cs="Arial"/>
          <w:bCs/>
          <w:color w:val="183850" w:themeColor="text1"/>
          <w:sz w:val="20"/>
          <w:szCs w:val="20"/>
        </w:rPr>
        <w:t>se of their powers and duties, the Directors will “ensure the business of the company is managed in a manner consistent with the objective of holding global warming to below two degrees Celsius above preindustrial levels”.</w:t>
      </w:r>
      <w:r>
        <w:t xml:space="preserve">  </w:t>
      </w:r>
      <w:r>
        <w:rPr>
          <w:rFonts w:ascii="Verdana" w:hAnsi="Verdana" w:cs="Arial"/>
          <w:bCs/>
          <w:color w:val="183850" w:themeColor="text1"/>
          <w:sz w:val="20"/>
          <w:szCs w:val="20"/>
        </w:rPr>
        <w:t>LPP did not support the resoluti</w:t>
      </w:r>
      <w:r>
        <w:rPr>
          <w:rFonts w:ascii="Verdana" w:hAnsi="Verdana" w:cs="Arial"/>
          <w:bCs/>
          <w:color w:val="183850" w:themeColor="text1"/>
          <w:sz w:val="20"/>
          <w:szCs w:val="20"/>
        </w:rPr>
        <w:t xml:space="preserve">on </w:t>
      </w:r>
      <w:r>
        <w:rPr>
          <w:rFonts w:ascii="Verdana" w:hAnsi="Verdana" w:cs="Arial"/>
          <w:bCs/>
          <w:color w:val="183850" w:themeColor="text1"/>
          <w:sz w:val="20"/>
          <w:szCs w:val="20"/>
        </w:rPr>
        <w:t>because of</w:t>
      </w:r>
      <w:r>
        <w:rPr>
          <w:rFonts w:ascii="Verdana" w:hAnsi="Verdana" w:cs="Arial"/>
          <w:bCs/>
          <w:color w:val="183850" w:themeColor="text1"/>
          <w:sz w:val="20"/>
          <w:szCs w:val="20"/>
        </w:rPr>
        <w:t xml:space="preserve"> the route used to seek emphasis, accepting Management’s argument that selecting one specific issue and constitutionally requiring its consideration to be elevated above all other matters falling to the Board was not in shareholder interests. </w:t>
      </w:r>
      <w:r>
        <w:rPr>
          <w:rFonts w:ascii="Verdana" w:hAnsi="Verdana" w:cs="Arial"/>
          <w:bCs/>
          <w:color w:val="183850" w:themeColor="text1"/>
          <w:sz w:val="20"/>
          <w:szCs w:val="20"/>
        </w:rPr>
        <w:t xml:space="preserve">Voting also reflected that the Company already has </w:t>
      </w:r>
      <w:r w:rsidRPr="00C63141">
        <w:rPr>
          <w:rFonts w:ascii="Verdana" w:hAnsi="Verdana" w:cs="Arial"/>
          <w:bCs/>
          <w:color w:val="183850" w:themeColor="text1"/>
          <w:sz w:val="20"/>
          <w:szCs w:val="20"/>
        </w:rPr>
        <w:t xml:space="preserve">a policy which commits it to playing its part in limiting climate change to well below two degrees Celsius in line with the Paris Agreement. </w:t>
      </w:r>
      <w:r>
        <w:rPr>
          <w:rFonts w:ascii="Verdana" w:hAnsi="Verdana" w:cs="Arial"/>
          <w:bCs/>
          <w:color w:val="183850" w:themeColor="text1"/>
          <w:sz w:val="20"/>
          <w:szCs w:val="20"/>
        </w:rPr>
        <w:t>Less than 3% of shareholders supported the resolution.</w:t>
      </w:r>
    </w:p>
    <w:p w:rsidR="00C63141" w:rsidP="002D14BD">
      <w:pPr>
        <w:autoSpaceDE w:val="0"/>
        <w:autoSpaceDN w:val="0"/>
        <w:adjustRightInd w:val="0"/>
        <w:spacing w:after="0"/>
        <w:rPr>
          <w:rFonts w:ascii="Verdana" w:hAnsi="Verdana" w:cs="Arial"/>
          <w:bCs/>
          <w:color w:val="183850" w:themeColor="text1"/>
          <w:sz w:val="20"/>
          <w:szCs w:val="20"/>
        </w:rPr>
      </w:pPr>
    </w:p>
    <w:p w:rsidR="00626882" w:rsidRPr="00692968" w:rsidP="00692968">
      <w:pPr>
        <w:rPr>
          <w:rFonts w:ascii="Verdana" w:hAnsi="Verdana"/>
          <w:color w:val="183850" w:themeColor="text1"/>
          <w:sz w:val="20"/>
          <w:szCs w:val="20"/>
        </w:rPr>
      </w:pPr>
      <w:r w:rsidRPr="00692968">
        <w:rPr>
          <w:rFonts w:ascii="Verdana" w:hAnsi="Verdana"/>
          <w:color w:val="183850" w:themeColor="text1"/>
          <w:sz w:val="20"/>
          <w:szCs w:val="20"/>
        </w:rPr>
        <w:t xml:space="preserve">Members </w:t>
      </w:r>
      <w:r w:rsidRPr="00692968">
        <w:rPr>
          <w:rFonts w:ascii="Verdana" w:hAnsi="Verdana"/>
          <w:color w:val="183850" w:themeColor="text1"/>
          <w:sz w:val="20"/>
          <w:szCs w:val="20"/>
        </w:rPr>
        <w:t>can</w:t>
      </w:r>
      <w:r w:rsidRPr="00692968">
        <w:rPr>
          <w:rFonts w:ascii="Verdana" w:hAnsi="Verdana"/>
          <w:color w:val="183850" w:themeColor="text1"/>
          <w:sz w:val="20"/>
          <w:szCs w:val="20"/>
        </w:rPr>
        <w:t xml:space="preserve"> view details of voting for all meetings via the </w:t>
      </w:r>
      <w:r w:rsidRPr="00692968">
        <w:rPr>
          <w:rFonts w:ascii="Verdana" w:hAnsi="Verdana"/>
          <w:color w:val="183850" w:themeColor="text1"/>
          <w:sz w:val="20"/>
          <w:szCs w:val="20"/>
        </w:rPr>
        <w:t xml:space="preserve">LPP </w:t>
      </w:r>
      <w:r w:rsidRPr="00692968">
        <w:rPr>
          <w:rFonts w:ascii="Verdana" w:hAnsi="Verdana"/>
          <w:color w:val="183850" w:themeColor="text1"/>
          <w:sz w:val="20"/>
          <w:szCs w:val="20"/>
        </w:rPr>
        <w:t xml:space="preserve">website where quarterly reports for the GEF </w:t>
      </w:r>
      <w:r w:rsidRPr="00692968">
        <w:rPr>
          <w:rFonts w:ascii="Verdana" w:hAnsi="Verdana"/>
          <w:color w:val="183850" w:themeColor="text1"/>
          <w:sz w:val="20"/>
          <w:szCs w:val="20"/>
        </w:rPr>
        <w:t>are</w:t>
      </w:r>
      <w:r w:rsidRPr="00692968">
        <w:rPr>
          <w:rFonts w:ascii="Verdana" w:hAnsi="Verdana"/>
          <w:color w:val="183850" w:themeColor="text1"/>
          <w:sz w:val="20"/>
          <w:szCs w:val="20"/>
        </w:rPr>
        <w:t xml:space="preserve"> </w:t>
      </w:r>
      <w:r w:rsidRPr="00692968">
        <w:rPr>
          <w:rFonts w:ascii="Verdana" w:hAnsi="Verdana"/>
          <w:color w:val="183850" w:themeColor="text1"/>
          <w:sz w:val="20"/>
          <w:szCs w:val="20"/>
        </w:rPr>
        <w:t>made</w:t>
      </w:r>
      <w:r w:rsidRPr="00692968">
        <w:rPr>
          <w:rFonts w:ascii="Verdana" w:hAnsi="Verdana"/>
          <w:color w:val="183850" w:themeColor="text1"/>
          <w:sz w:val="20"/>
          <w:szCs w:val="20"/>
        </w:rPr>
        <w:t xml:space="preserve"> </w:t>
      </w:r>
      <w:r w:rsidRPr="00692968">
        <w:rPr>
          <w:rFonts w:ascii="Verdana" w:hAnsi="Verdana"/>
          <w:color w:val="183850" w:themeColor="text1"/>
          <w:sz w:val="20"/>
          <w:szCs w:val="20"/>
        </w:rPr>
        <w:t xml:space="preserve">publicly </w:t>
      </w:r>
      <w:r w:rsidRPr="00692968">
        <w:rPr>
          <w:rFonts w:ascii="Verdana" w:hAnsi="Verdana"/>
          <w:color w:val="183850" w:themeColor="text1"/>
          <w:sz w:val="20"/>
          <w:szCs w:val="20"/>
        </w:rPr>
        <w:t>availa</w:t>
      </w:r>
      <w:r w:rsidRPr="00692968">
        <w:rPr>
          <w:rFonts w:ascii="Verdana" w:hAnsi="Verdana"/>
          <w:color w:val="183850" w:themeColor="text1"/>
          <w:sz w:val="20"/>
          <w:szCs w:val="20"/>
        </w:rPr>
        <w:t>ble</w:t>
      </w:r>
      <w:r w:rsidRPr="00692968">
        <w:rPr>
          <w:rFonts w:ascii="Verdana" w:hAnsi="Verdana"/>
          <w:color w:val="183850" w:themeColor="text1"/>
          <w:sz w:val="20"/>
          <w:szCs w:val="20"/>
        </w:rPr>
        <w:t xml:space="preserve">. </w:t>
      </w:r>
    </w:p>
    <w:p w:rsidR="00B7162D" w:rsidRPr="00692968" w:rsidP="00692968">
      <w:pPr>
        <w:rPr>
          <w:rFonts w:ascii="Verdana" w:hAnsi="Verdana"/>
          <w:color w:val="183850" w:themeColor="text1"/>
          <w:sz w:val="20"/>
          <w:szCs w:val="20"/>
        </w:rPr>
      </w:pPr>
      <w:r>
        <w:fldChar w:fldCharType="begin"/>
      </w:r>
      <w:r>
        <w:instrText xml:space="preserve"> HYPERLINK "https://www.localpensionspartnership.org.uk/what-we-do/investment-management" </w:instrText>
      </w:r>
      <w:r>
        <w:fldChar w:fldCharType="separate"/>
      </w:r>
      <w:r w:rsidRPr="00692968">
        <w:rPr>
          <w:rFonts w:ascii="Verdana" w:hAnsi="Verdana"/>
          <w:color w:val="183850" w:themeColor="text1"/>
          <w:sz w:val="20"/>
          <w:szCs w:val="20"/>
        </w:rPr>
        <w:t>https://www.localpensionspartnership.org.uk/what-we-do/investment-management</w:t>
      </w:r>
      <w:r>
        <w:fldChar w:fldCharType="end"/>
      </w:r>
    </w:p>
    <w:p w:rsidR="00497FA5" w:rsidRPr="00F23661" w:rsidP="003B4083">
      <w:pPr>
        <w:pStyle w:val="treb"/>
        <w:numPr>
          <w:ilvl w:val="0"/>
          <w:numId w:val="0"/>
        </w:numPr>
        <w:spacing w:after="0"/>
        <w:rPr>
          <w:rFonts w:ascii="Verdana" w:hAnsi="Verdana"/>
          <w:color w:val="54BBAB" w:themeColor="text2"/>
          <w:sz w:val="20"/>
          <w:szCs w:val="20"/>
        </w:rPr>
      </w:pPr>
    </w:p>
    <w:p w:rsidR="00197BA3" w:rsidRPr="00F23661" w:rsidP="008E62D7">
      <w:pPr>
        <w:pStyle w:val="treb"/>
        <w:numPr>
          <w:ilvl w:val="0"/>
          <w:numId w:val="5"/>
        </w:numPr>
        <w:spacing w:after="0"/>
        <w:ind w:left="0" w:firstLine="0"/>
        <w:rPr>
          <w:rFonts w:ascii="Verdana" w:hAnsi="Verdana"/>
          <w:color w:val="54BBAB" w:themeColor="text2"/>
          <w:sz w:val="20"/>
          <w:szCs w:val="20"/>
        </w:rPr>
      </w:pPr>
      <w:r w:rsidRPr="00F23661">
        <w:rPr>
          <w:rFonts w:ascii="Verdana" w:hAnsi="Verdana"/>
          <w:color w:val="54BBAB" w:themeColor="text2"/>
          <w:sz w:val="20"/>
          <w:szCs w:val="20"/>
        </w:rPr>
        <w:t>Engagement through Partnerships</w:t>
      </w:r>
    </w:p>
    <w:p w:rsidR="00E9007D" w:rsidRPr="00F23661" w:rsidP="003B4083">
      <w:pPr>
        <w:pStyle w:val="ListParagraph"/>
        <w:autoSpaceDE w:val="0"/>
        <w:autoSpaceDN w:val="0"/>
        <w:adjustRightInd w:val="0"/>
        <w:spacing w:after="0"/>
        <w:ind w:left="0"/>
        <w:rPr>
          <w:rFonts w:ascii="Verdana" w:hAnsi="Verdana" w:cs="NimbusSanL-Regu"/>
          <w:color w:val="183850" w:themeColor="text1"/>
          <w:sz w:val="20"/>
          <w:szCs w:val="20"/>
        </w:rPr>
      </w:pPr>
    </w:p>
    <w:p w:rsidR="00626882" w:rsidRPr="00635E0B" w:rsidP="00635E0B">
      <w:pPr>
        <w:autoSpaceDE w:val="0"/>
        <w:autoSpaceDN w:val="0"/>
        <w:adjustRightInd w:val="0"/>
        <w:spacing w:after="0"/>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LPP I </w:t>
      </w:r>
      <w:r w:rsidRPr="00635E0B">
        <w:rPr>
          <w:rFonts w:ascii="Verdana" w:hAnsi="Verdana" w:cs="Arial"/>
          <w:bCs/>
          <w:color w:val="183850" w:themeColor="text1"/>
          <w:sz w:val="20"/>
          <w:szCs w:val="20"/>
        </w:rPr>
        <w:t xml:space="preserve">regularly </w:t>
      </w:r>
      <w:r w:rsidRPr="00635E0B">
        <w:rPr>
          <w:rFonts w:ascii="Verdana" w:hAnsi="Verdana" w:cs="Arial"/>
          <w:bCs/>
          <w:color w:val="183850" w:themeColor="text1"/>
          <w:sz w:val="20"/>
          <w:szCs w:val="20"/>
        </w:rPr>
        <w:t>participate</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in collaborations </w:t>
      </w:r>
      <w:r w:rsidRPr="00635E0B">
        <w:rPr>
          <w:rFonts w:ascii="Verdana" w:hAnsi="Verdana" w:cs="Arial"/>
          <w:bCs/>
          <w:color w:val="183850" w:themeColor="text1"/>
          <w:sz w:val="20"/>
          <w:szCs w:val="20"/>
        </w:rPr>
        <w:t xml:space="preserve">which </w:t>
      </w:r>
      <w:r w:rsidRPr="00635E0B">
        <w:rPr>
          <w:rFonts w:ascii="Verdana" w:hAnsi="Verdana" w:cs="Arial"/>
          <w:bCs/>
          <w:color w:val="183850" w:themeColor="text1"/>
          <w:sz w:val="20"/>
          <w:szCs w:val="20"/>
        </w:rPr>
        <w:t xml:space="preserve">aim to </w:t>
      </w:r>
      <w:r w:rsidRPr="00635E0B">
        <w:rPr>
          <w:rFonts w:ascii="Verdana" w:hAnsi="Verdana" w:cs="Arial"/>
          <w:bCs/>
          <w:color w:val="183850" w:themeColor="text1"/>
          <w:sz w:val="20"/>
          <w:szCs w:val="20"/>
        </w:rPr>
        <w:t xml:space="preserve">make progress on </w:t>
      </w:r>
      <w:r w:rsidRPr="00635E0B">
        <w:rPr>
          <w:rFonts w:ascii="Verdana" w:hAnsi="Verdana" w:cs="Arial"/>
          <w:bCs/>
          <w:color w:val="183850" w:themeColor="text1"/>
          <w:sz w:val="20"/>
          <w:szCs w:val="20"/>
        </w:rPr>
        <w:t xml:space="preserve">commonly held </w:t>
      </w:r>
      <w:r w:rsidRPr="00635E0B">
        <w:rPr>
          <w:rFonts w:ascii="Verdana" w:hAnsi="Verdana" w:cs="Arial"/>
          <w:bCs/>
          <w:color w:val="183850" w:themeColor="text1"/>
          <w:sz w:val="20"/>
          <w:szCs w:val="20"/>
        </w:rPr>
        <w:t xml:space="preserve">issues </w:t>
      </w:r>
      <w:r w:rsidRPr="00635E0B">
        <w:rPr>
          <w:rFonts w:ascii="Verdana" w:hAnsi="Verdana" w:cs="Arial"/>
          <w:bCs/>
          <w:color w:val="183850" w:themeColor="text1"/>
          <w:sz w:val="20"/>
          <w:szCs w:val="20"/>
        </w:rPr>
        <w:t>by co-ordinating the</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efforts </w:t>
      </w:r>
      <w:r w:rsidRPr="00635E0B">
        <w:rPr>
          <w:rFonts w:ascii="Verdana" w:hAnsi="Verdana" w:cs="Arial"/>
          <w:bCs/>
          <w:color w:val="183850" w:themeColor="text1"/>
          <w:sz w:val="20"/>
          <w:szCs w:val="20"/>
        </w:rPr>
        <w:t>of institutional</w:t>
      </w:r>
      <w:r w:rsidRPr="00635E0B">
        <w:rPr>
          <w:rFonts w:ascii="Verdana" w:hAnsi="Verdana" w:cs="Arial"/>
          <w:bCs/>
          <w:color w:val="183850" w:themeColor="text1"/>
          <w:sz w:val="20"/>
          <w:szCs w:val="20"/>
        </w:rPr>
        <w:t xml:space="preserve"> investors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Key </w:t>
      </w:r>
      <w:r w:rsidRPr="00635E0B">
        <w:rPr>
          <w:rFonts w:ascii="Verdana" w:hAnsi="Verdana" w:cs="Arial"/>
          <w:bCs/>
          <w:color w:val="183850" w:themeColor="text1"/>
          <w:sz w:val="20"/>
          <w:szCs w:val="20"/>
        </w:rPr>
        <w:t>partner</w:t>
      </w:r>
      <w:r w:rsidRPr="00635E0B">
        <w:rPr>
          <w:rFonts w:ascii="Verdana" w:hAnsi="Verdana" w:cs="Arial"/>
          <w:bCs/>
          <w:color w:val="183850" w:themeColor="text1"/>
          <w:sz w:val="20"/>
          <w:szCs w:val="20"/>
        </w:rPr>
        <w:t>s include the Local Authority Pension Fund Forum (LAPFF) the Pensions and Lifetime Savings Association (PLSA) the Principles of Responsible Investment (PRI) the Institutional Investor Group on Climate Change (IIGCC)</w:t>
      </w:r>
      <w:r w:rsidRPr="00635E0B">
        <w:rPr>
          <w:rFonts w:ascii="Verdana" w:hAnsi="Verdana" w:cs="Arial"/>
          <w:bCs/>
          <w:color w:val="183850" w:themeColor="text1"/>
          <w:sz w:val="20"/>
          <w:szCs w:val="20"/>
        </w:rPr>
        <w:t xml:space="preserve"> and the UK Pensio</w:t>
      </w:r>
      <w:r w:rsidRPr="00635E0B">
        <w:rPr>
          <w:rFonts w:ascii="Verdana" w:hAnsi="Verdana" w:cs="Arial"/>
          <w:bCs/>
          <w:color w:val="183850" w:themeColor="text1"/>
          <w:sz w:val="20"/>
          <w:szCs w:val="20"/>
        </w:rPr>
        <w:t>n Fund RI Roundtable</w:t>
      </w:r>
      <w:r w:rsidRPr="00635E0B">
        <w:rPr>
          <w:rFonts w:ascii="Verdana" w:hAnsi="Verdana" w:cs="Arial"/>
          <w:bCs/>
          <w:color w:val="183850" w:themeColor="text1"/>
          <w:sz w:val="20"/>
          <w:szCs w:val="20"/>
        </w:rPr>
        <w:t>.</w:t>
      </w:r>
    </w:p>
    <w:p w:rsidR="00635E0B" w:rsidP="00635E0B">
      <w:pPr>
        <w:autoSpaceDE w:val="0"/>
        <w:autoSpaceDN w:val="0"/>
        <w:adjustRightInd w:val="0"/>
        <w:spacing w:after="0"/>
        <w:rPr>
          <w:rFonts w:ascii="Verdana" w:hAnsi="Verdana" w:cs="Arial"/>
          <w:bCs/>
          <w:color w:val="183850" w:themeColor="text1"/>
          <w:sz w:val="20"/>
          <w:szCs w:val="20"/>
        </w:rPr>
      </w:pPr>
    </w:p>
    <w:p w:rsidR="00705972" w:rsidRPr="0065777F" w:rsidP="00635E0B">
      <w:pPr>
        <w:autoSpaceDE w:val="0"/>
        <w:autoSpaceDN w:val="0"/>
        <w:adjustRightInd w:val="0"/>
        <w:spacing w:after="0"/>
        <w:rPr>
          <w:rFonts w:ascii="Verdana" w:hAnsi="Verdana" w:cs="Arial"/>
          <w:b/>
          <w:bCs/>
          <w:color w:val="183850" w:themeColor="text1"/>
          <w:sz w:val="20"/>
          <w:szCs w:val="20"/>
        </w:rPr>
      </w:pPr>
      <w:r w:rsidRPr="0065777F">
        <w:rPr>
          <w:rFonts w:ascii="Verdana" w:hAnsi="Verdana" w:cs="Arial"/>
          <w:b/>
          <w:bCs/>
          <w:color w:val="183850" w:themeColor="text1"/>
          <w:sz w:val="20"/>
          <w:szCs w:val="20"/>
        </w:rPr>
        <w:t>LAPFF</w:t>
      </w:r>
    </w:p>
    <w:p w:rsidR="00C63141" w:rsidP="00635E0B">
      <w:pPr>
        <w:autoSpaceDE w:val="0"/>
        <w:autoSpaceDN w:val="0"/>
        <w:adjustRightInd w:val="0"/>
        <w:spacing w:after="0"/>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LAPFF </w:t>
      </w:r>
      <w:r w:rsidRPr="00635E0B">
        <w:rPr>
          <w:rFonts w:ascii="Verdana" w:hAnsi="Verdana" w:cs="Arial"/>
          <w:bCs/>
          <w:color w:val="183850" w:themeColor="text1"/>
          <w:sz w:val="20"/>
          <w:szCs w:val="20"/>
        </w:rPr>
        <w:t xml:space="preserve">has </w:t>
      </w:r>
      <w:r w:rsidRPr="00635E0B">
        <w:rPr>
          <w:rFonts w:ascii="Verdana" w:hAnsi="Verdana" w:cs="Arial"/>
          <w:bCs/>
          <w:color w:val="183850" w:themeColor="text1"/>
          <w:sz w:val="20"/>
          <w:szCs w:val="20"/>
        </w:rPr>
        <w:t>long</w:t>
      </w:r>
      <w:r w:rsidRPr="00635E0B">
        <w:rPr>
          <w:rFonts w:ascii="Verdana" w:hAnsi="Verdana" w:cs="Arial"/>
          <w:bCs/>
          <w:color w:val="183850" w:themeColor="text1"/>
          <w:sz w:val="20"/>
          <w:szCs w:val="20"/>
        </w:rPr>
        <w:t xml:space="preserve"> been</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LCPF</w:t>
      </w:r>
      <w:r w:rsidRPr="00635E0B">
        <w:rPr>
          <w:rFonts w:ascii="Verdana" w:hAnsi="Verdana" w:cs="Arial"/>
          <w:bCs/>
          <w:color w:val="183850" w:themeColor="text1"/>
          <w:sz w:val="20"/>
          <w:szCs w:val="20"/>
        </w:rPr>
        <w:t>'s preferred engagement partne</w:t>
      </w:r>
      <w:r w:rsidRPr="00635E0B">
        <w:rPr>
          <w:rFonts w:ascii="Verdana" w:hAnsi="Verdana" w:cs="Arial"/>
          <w:bCs/>
          <w:color w:val="183850" w:themeColor="text1"/>
          <w:sz w:val="20"/>
          <w:szCs w:val="20"/>
        </w:rPr>
        <w:t>r</w:t>
      </w:r>
      <w:r w:rsidRPr="00635E0B">
        <w:rPr>
          <w:rFonts w:ascii="Verdana" w:hAnsi="Verdana" w:cs="Arial"/>
          <w:bCs/>
          <w:color w:val="183850" w:themeColor="text1"/>
          <w:sz w:val="20"/>
          <w:szCs w:val="20"/>
        </w:rPr>
        <w:t xml:space="preserve"> and the Forum’s </w:t>
      </w:r>
      <w:r w:rsidRPr="00635E0B">
        <w:rPr>
          <w:rFonts w:ascii="Verdana" w:hAnsi="Verdana" w:cs="Arial"/>
          <w:bCs/>
          <w:color w:val="183850" w:themeColor="text1"/>
          <w:sz w:val="20"/>
          <w:szCs w:val="20"/>
        </w:rPr>
        <w:t xml:space="preserve">most recent quarterly Business Meeting took place on </w:t>
      </w:r>
      <w:r w:rsidRPr="00635E0B">
        <w:rPr>
          <w:rFonts w:ascii="Verdana" w:hAnsi="Verdana" w:cs="Arial"/>
          <w:bCs/>
          <w:color w:val="183850" w:themeColor="text1"/>
          <w:sz w:val="20"/>
          <w:szCs w:val="20"/>
        </w:rPr>
        <w:t>January</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2018</w:t>
      </w:r>
      <w:r w:rsidRPr="00635E0B">
        <w:rPr>
          <w:rFonts w:ascii="Verdana" w:hAnsi="Verdana" w:cs="Arial"/>
          <w:bCs/>
          <w:color w:val="183850" w:themeColor="text1"/>
          <w:sz w:val="20"/>
          <w:szCs w:val="20"/>
        </w:rPr>
        <w:t>. T</w:t>
      </w:r>
      <w:r w:rsidRPr="00635E0B">
        <w:rPr>
          <w:rFonts w:ascii="Verdana" w:hAnsi="Verdana" w:cs="Arial"/>
          <w:bCs/>
          <w:color w:val="183850" w:themeColor="text1"/>
          <w:sz w:val="20"/>
          <w:szCs w:val="20"/>
        </w:rPr>
        <w:t xml:space="preserve">he </w:t>
      </w:r>
      <w:r w:rsidRPr="00635E0B">
        <w:rPr>
          <w:rFonts w:ascii="Verdana" w:hAnsi="Verdana" w:cs="Arial"/>
          <w:bCs/>
          <w:color w:val="183850" w:themeColor="text1"/>
          <w:sz w:val="20"/>
          <w:szCs w:val="20"/>
        </w:rPr>
        <w:t xml:space="preserve">Fund was represented by the </w:t>
      </w:r>
      <w:r w:rsidRPr="00635E0B">
        <w:rPr>
          <w:rFonts w:ascii="Verdana" w:hAnsi="Verdana" w:cs="Arial"/>
          <w:bCs/>
          <w:color w:val="183850" w:themeColor="text1"/>
          <w:sz w:val="20"/>
          <w:szCs w:val="20"/>
        </w:rPr>
        <w:t xml:space="preserve">Chair of the Pension Fund Committee and the </w:t>
      </w:r>
      <w:r w:rsidRPr="00635E0B">
        <w:rPr>
          <w:rFonts w:ascii="Verdana" w:hAnsi="Verdana" w:cs="Arial"/>
          <w:bCs/>
          <w:color w:val="183850" w:themeColor="text1"/>
          <w:sz w:val="20"/>
          <w:szCs w:val="20"/>
        </w:rPr>
        <w:t>G</w:t>
      </w:r>
      <w:r w:rsidRPr="00635E0B">
        <w:rPr>
          <w:rFonts w:ascii="Verdana" w:hAnsi="Verdana" w:cs="Arial"/>
          <w:bCs/>
          <w:color w:val="183850" w:themeColor="text1"/>
          <w:sz w:val="20"/>
          <w:szCs w:val="20"/>
        </w:rPr>
        <w:t xml:space="preserve">overnance </w:t>
      </w:r>
      <w:r w:rsidRPr="00635E0B">
        <w:rPr>
          <w:rFonts w:ascii="Verdana" w:hAnsi="Verdana" w:cs="Arial"/>
          <w:bCs/>
          <w:color w:val="183850" w:themeColor="text1"/>
          <w:sz w:val="20"/>
          <w:szCs w:val="20"/>
        </w:rPr>
        <w:t>and Risk Officer</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One of the key topics covered at</w:t>
      </w:r>
      <w:r w:rsidRPr="00635E0B">
        <w:rPr>
          <w:rFonts w:ascii="Verdana" w:hAnsi="Verdana" w:cs="Arial"/>
          <w:bCs/>
          <w:color w:val="183850" w:themeColor="text1"/>
          <w:sz w:val="20"/>
          <w:szCs w:val="20"/>
        </w:rPr>
        <w:t xml:space="preserve"> the meeting</w:t>
      </w:r>
      <w:r w:rsidRPr="00635E0B">
        <w:rPr>
          <w:rFonts w:ascii="Verdana" w:hAnsi="Verdana" w:cs="Arial"/>
          <w:bCs/>
          <w:color w:val="183850" w:themeColor="text1"/>
          <w:sz w:val="20"/>
          <w:szCs w:val="20"/>
        </w:rPr>
        <w:t>, the first since the sad death of LAPFF Chair Councillor Kieran Quinn in December 2017, was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a</w:t>
      </w:r>
      <w:r w:rsidRPr="00635E0B">
        <w:rPr>
          <w:rFonts w:ascii="Verdana" w:hAnsi="Verdana" w:cs="Arial"/>
          <w:bCs/>
          <w:color w:val="183850" w:themeColor="text1"/>
          <w:sz w:val="20"/>
          <w:szCs w:val="20"/>
        </w:rPr>
        <w:t>n</w:t>
      </w:r>
      <w:r w:rsidRPr="00635E0B">
        <w:rPr>
          <w:rFonts w:ascii="Verdana" w:hAnsi="Verdana" w:cs="Arial"/>
          <w:bCs/>
          <w:color w:val="183850" w:themeColor="text1"/>
          <w:sz w:val="20"/>
          <w:szCs w:val="20"/>
        </w:rPr>
        <w:t xml:space="preserve"> explanation of the process and thinking which informed the Executive’s agreement of a final propos</w:t>
      </w:r>
      <w:r w:rsidRPr="00635E0B">
        <w:rPr>
          <w:rFonts w:ascii="Verdana" w:hAnsi="Verdana" w:cs="Arial"/>
          <w:bCs/>
          <w:color w:val="183850" w:themeColor="text1"/>
          <w:sz w:val="20"/>
          <w:szCs w:val="20"/>
        </w:rPr>
        <w:t xml:space="preserve">al for admitting Pools to Membership of LAPFF. Full details of the approach have subsequently been circulated and are </w:t>
      </w:r>
      <w:r w:rsidRPr="00635E0B">
        <w:rPr>
          <w:rFonts w:ascii="Verdana" w:hAnsi="Verdana" w:cs="Arial"/>
          <w:bCs/>
          <w:color w:val="183850" w:themeColor="text1"/>
          <w:sz w:val="20"/>
          <w:szCs w:val="20"/>
        </w:rPr>
        <w:t xml:space="preserve">currently </w:t>
      </w:r>
      <w:r w:rsidRPr="00635E0B">
        <w:rPr>
          <w:rFonts w:ascii="Verdana" w:hAnsi="Verdana" w:cs="Arial"/>
          <w:bCs/>
          <w:color w:val="183850" w:themeColor="text1"/>
          <w:sz w:val="20"/>
          <w:szCs w:val="20"/>
        </w:rPr>
        <w:t>subject to reflection and comment in the lead-up to the AGM on 28 March 2018 where members will vote on proposals to amend the L</w:t>
      </w:r>
      <w:r w:rsidRPr="00635E0B">
        <w:rPr>
          <w:rFonts w:ascii="Verdana" w:hAnsi="Verdana" w:cs="Arial"/>
          <w:bCs/>
          <w:color w:val="183850" w:themeColor="text1"/>
          <w:sz w:val="20"/>
          <w:szCs w:val="20"/>
        </w:rPr>
        <w:t>APFF constitution in order to admit and facilitate the participation of Pools.</w:t>
      </w:r>
    </w:p>
    <w:p w:rsidR="00635E0B" w:rsidRPr="00635E0B" w:rsidP="00635E0B">
      <w:pPr>
        <w:autoSpaceDE w:val="0"/>
        <w:autoSpaceDN w:val="0"/>
        <w:adjustRightInd w:val="0"/>
        <w:spacing w:after="0"/>
        <w:rPr>
          <w:rFonts w:ascii="Verdana" w:hAnsi="Verdana" w:cs="Arial"/>
          <w:bCs/>
          <w:color w:val="183850" w:themeColor="text1"/>
          <w:sz w:val="20"/>
          <w:szCs w:val="20"/>
        </w:rPr>
      </w:pPr>
    </w:p>
    <w:p w:rsidR="0054100C" w:rsidRPr="00635E0B" w:rsidP="00635E0B">
      <w:pPr>
        <w:autoSpaceDE w:val="0"/>
        <w:autoSpaceDN w:val="0"/>
        <w:adjustRightInd w:val="0"/>
        <w:spacing w:after="0"/>
        <w:rPr>
          <w:rFonts w:ascii="Verdana" w:hAnsi="Verdana" w:cs="Arial"/>
          <w:bCs/>
          <w:color w:val="183850" w:themeColor="text1"/>
          <w:sz w:val="20"/>
          <w:szCs w:val="20"/>
        </w:rPr>
      </w:pPr>
      <w:r w:rsidRPr="00635E0B">
        <w:rPr>
          <w:rFonts w:ascii="Verdana" w:hAnsi="Verdana" w:cs="Arial"/>
          <w:bCs/>
          <w:color w:val="183850" w:themeColor="text1"/>
          <w:sz w:val="20"/>
          <w:szCs w:val="20"/>
        </w:rPr>
        <w:t>LAPFF Q3 Engagement Report</w:t>
      </w:r>
      <w:r w:rsidRPr="00635E0B">
        <w:rPr>
          <w:rFonts w:ascii="Verdana" w:hAnsi="Verdana" w:cs="Arial"/>
          <w:bCs/>
          <w:color w:val="183850" w:themeColor="text1"/>
          <w:sz w:val="20"/>
          <w:szCs w:val="20"/>
        </w:rPr>
        <w:t xml:space="preserve"> (Appendix A1</w:t>
      </w:r>
      <w:r w:rsidRPr="00635E0B">
        <w:rPr>
          <w:rFonts w:ascii="Verdana" w:hAnsi="Verdana" w:cs="Arial"/>
          <w:bCs/>
          <w:color w:val="183850" w:themeColor="text1"/>
          <w:sz w:val="20"/>
          <w:szCs w:val="20"/>
        </w:rPr>
        <w:t>)</w:t>
      </w:r>
    </w:p>
    <w:p w:rsidR="0054100C" w:rsidRPr="00635E0B" w:rsidP="00635E0B">
      <w:pPr>
        <w:autoSpaceDE w:val="0"/>
        <w:autoSpaceDN w:val="0"/>
        <w:adjustRightInd w:val="0"/>
        <w:spacing w:after="0"/>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The LAPFF engagement programme reflects </w:t>
      </w:r>
      <w:r w:rsidRPr="00635E0B">
        <w:rPr>
          <w:rFonts w:ascii="Verdana" w:hAnsi="Verdana" w:cs="Arial"/>
          <w:bCs/>
          <w:color w:val="183850" w:themeColor="text1"/>
          <w:sz w:val="20"/>
          <w:szCs w:val="20"/>
        </w:rPr>
        <w:t xml:space="preserve">the Forum's </w:t>
      </w:r>
      <w:r w:rsidRPr="00635E0B">
        <w:rPr>
          <w:rFonts w:ascii="Verdana" w:hAnsi="Verdana" w:cs="Arial"/>
          <w:bCs/>
          <w:color w:val="183850" w:themeColor="text1"/>
          <w:sz w:val="20"/>
          <w:szCs w:val="20"/>
        </w:rPr>
        <w:t xml:space="preserve">assessment of key priorities from across the collective equity holdings of LAPFF members. </w:t>
      </w:r>
      <w:r w:rsidRPr="00635E0B">
        <w:rPr>
          <w:rFonts w:ascii="Verdana" w:hAnsi="Verdana" w:cs="Arial"/>
          <w:bCs/>
          <w:color w:val="183850" w:themeColor="text1"/>
          <w:sz w:val="20"/>
          <w:szCs w:val="20"/>
        </w:rPr>
        <w:t>On a quarterly basis LAPFF provide</w:t>
      </w:r>
      <w:r w:rsidRPr="00635E0B">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Forum </w:t>
      </w:r>
      <w:r w:rsidRPr="00635E0B">
        <w:rPr>
          <w:rFonts w:ascii="Verdana" w:hAnsi="Verdana" w:cs="Arial"/>
          <w:bCs/>
          <w:color w:val="183850" w:themeColor="text1"/>
          <w:sz w:val="20"/>
          <w:szCs w:val="20"/>
        </w:rPr>
        <w:t>member</w:t>
      </w:r>
      <w:r w:rsidRPr="00635E0B">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with a summary of the engagement activities undertaken on their behalf. </w:t>
      </w:r>
      <w:r w:rsidRPr="00635E0B">
        <w:rPr>
          <w:rFonts w:ascii="Verdana" w:hAnsi="Verdana" w:cs="Arial"/>
          <w:bCs/>
          <w:color w:val="183850" w:themeColor="text1"/>
          <w:sz w:val="20"/>
          <w:szCs w:val="20"/>
        </w:rPr>
        <w:t>LAPFF's Q</w:t>
      </w:r>
      <w:r w:rsidRPr="00635E0B">
        <w:rPr>
          <w:rFonts w:ascii="Verdana" w:hAnsi="Verdana" w:cs="Arial"/>
          <w:bCs/>
          <w:color w:val="183850" w:themeColor="text1"/>
          <w:sz w:val="20"/>
          <w:szCs w:val="20"/>
        </w:rPr>
        <w:t>4</w:t>
      </w:r>
      <w:r w:rsidRPr="00635E0B">
        <w:rPr>
          <w:rFonts w:ascii="Verdana" w:hAnsi="Verdana" w:cs="Arial"/>
          <w:bCs/>
          <w:color w:val="183850" w:themeColor="text1"/>
          <w:sz w:val="20"/>
          <w:szCs w:val="20"/>
        </w:rPr>
        <w:t xml:space="preserve"> 201</w:t>
      </w:r>
      <w:r w:rsidRPr="00635E0B">
        <w:rPr>
          <w:rFonts w:ascii="Verdana" w:hAnsi="Verdana" w:cs="Arial"/>
          <w:bCs/>
          <w:color w:val="183850" w:themeColor="text1"/>
          <w:sz w:val="20"/>
          <w:szCs w:val="20"/>
        </w:rPr>
        <w:t>7</w:t>
      </w:r>
      <w:r w:rsidRPr="00635E0B">
        <w:rPr>
          <w:rFonts w:ascii="Verdana" w:hAnsi="Verdana" w:cs="Arial"/>
          <w:bCs/>
          <w:color w:val="183850" w:themeColor="text1"/>
          <w:sz w:val="20"/>
          <w:szCs w:val="20"/>
        </w:rPr>
        <w:t xml:space="preserve"> Engagement R</w:t>
      </w:r>
      <w:r w:rsidRPr="00635E0B">
        <w:rPr>
          <w:rFonts w:ascii="Verdana" w:hAnsi="Verdana" w:cs="Arial"/>
          <w:bCs/>
          <w:color w:val="183850" w:themeColor="text1"/>
          <w:sz w:val="20"/>
          <w:szCs w:val="20"/>
        </w:rPr>
        <w:t xml:space="preserve">eport </w:t>
      </w:r>
      <w:r w:rsidRPr="00635E0B">
        <w:rPr>
          <w:rFonts w:ascii="Verdana" w:hAnsi="Verdana" w:cs="Arial"/>
          <w:bCs/>
          <w:color w:val="183850" w:themeColor="text1"/>
          <w:sz w:val="20"/>
          <w:szCs w:val="20"/>
        </w:rPr>
        <w:t xml:space="preserve">is </w:t>
      </w:r>
      <w:r w:rsidRPr="00635E0B">
        <w:rPr>
          <w:rFonts w:ascii="Verdana" w:hAnsi="Verdana" w:cs="Arial"/>
          <w:bCs/>
          <w:color w:val="183850" w:themeColor="text1"/>
          <w:sz w:val="20"/>
          <w:szCs w:val="20"/>
        </w:rPr>
        <w:t>attached at Appendix A1</w:t>
      </w:r>
      <w:r w:rsidRPr="00635E0B">
        <w:rPr>
          <w:rFonts w:ascii="Verdana" w:hAnsi="Verdana" w:cs="Arial"/>
          <w:bCs/>
          <w:color w:val="183850" w:themeColor="text1"/>
          <w:sz w:val="20"/>
          <w:szCs w:val="20"/>
        </w:rPr>
        <w:t>.</w:t>
      </w:r>
      <w:r w:rsidRPr="00635E0B">
        <w:rPr>
          <w:rFonts w:ascii="Verdana" w:hAnsi="Verdana" w:cs="Arial"/>
          <w:bCs/>
          <w:color w:val="183850" w:themeColor="text1"/>
          <w:sz w:val="20"/>
          <w:szCs w:val="20"/>
        </w:rPr>
        <w:t xml:space="preserve"> </w:t>
      </w:r>
    </w:p>
    <w:p w:rsidR="0054100C" w:rsidP="00635E0B">
      <w:pPr>
        <w:autoSpaceDE w:val="0"/>
        <w:autoSpaceDN w:val="0"/>
        <w:adjustRightInd w:val="0"/>
        <w:spacing w:after="0"/>
        <w:rPr>
          <w:rFonts w:ascii="Verdana" w:hAnsi="Verdana" w:cs="Arial"/>
          <w:bCs/>
          <w:color w:val="183850" w:themeColor="text1"/>
          <w:sz w:val="20"/>
          <w:szCs w:val="20"/>
        </w:rPr>
      </w:pPr>
      <w:r w:rsidRPr="00635E0B">
        <w:rPr>
          <w:rFonts w:ascii="Verdana" w:hAnsi="Verdana" w:cs="Arial"/>
          <w:bCs/>
          <w:color w:val="183850" w:themeColor="text1"/>
          <w:sz w:val="20"/>
          <w:szCs w:val="20"/>
        </w:rPr>
        <w:t>Quantified across thematic topics, engagement activity by LAPFF was as follows</w:t>
      </w:r>
      <w:r w:rsidRPr="00635E0B">
        <w:rPr>
          <w:rFonts w:ascii="Verdana" w:hAnsi="Verdana" w:cs="Arial"/>
          <w:bCs/>
          <w:color w:val="183850" w:themeColor="text1"/>
          <w:sz w:val="20"/>
          <w:szCs w:val="20"/>
        </w:rPr>
        <w:t xml:space="preserve"> in Q4</w:t>
      </w:r>
      <w:r w:rsidRPr="00635E0B">
        <w:rPr>
          <w:rFonts w:ascii="Verdana" w:hAnsi="Verdana" w:cs="Arial"/>
          <w:bCs/>
          <w:color w:val="183850" w:themeColor="text1"/>
          <w:sz w:val="20"/>
          <w:szCs w:val="20"/>
        </w:rPr>
        <w:t xml:space="preserve">: </w:t>
      </w:r>
    </w:p>
    <w:p w:rsidR="00635E0B" w:rsidRPr="00635E0B" w:rsidP="00635E0B">
      <w:pPr>
        <w:autoSpaceDE w:val="0"/>
        <w:autoSpaceDN w:val="0"/>
        <w:adjustRightInd w:val="0"/>
        <w:spacing w:after="0"/>
        <w:rPr>
          <w:rFonts w:ascii="Verdana" w:hAnsi="Verdana" w:cs="Arial"/>
          <w:bCs/>
          <w:color w:val="183850" w:themeColor="text1"/>
          <w:sz w:val="20"/>
          <w:szCs w:val="20"/>
        </w:rPr>
      </w:pPr>
    </w:p>
    <w:p w:rsidR="0054100C" w:rsidP="0054100C">
      <w:pPr>
        <w:autoSpaceDE w:val="0"/>
        <w:autoSpaceDN w:val="0"/>
        <w:adjustRightInd w:val="0"/>
        <w:spacing w:after="0"/>
        <w:rPr>
          <w:rFonts w:ascii="Verdana" w:hAnsi="Verdana" w:cs="Arial"/>
          <w:bCs/>
          <w:color w:val="183850" w:themeColor="text1"/>
          <w:sz w:val="20"/>
          <w:szCs w:val="20"/>
        </w:rPr>
      </w:pPr>
      <w:r>
        <w:rPr>
          <w:noProof/>
          <w:lang w:eastAsia="en-GB"/>
        </w:rPr>
        <w:drawing>
          <wp:inline distT="0" distB="0" distL="0" distR="0">
            <wp:extent cx="4643562" cy="199560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189664" name=""/>
                    <pic:cNvPicPr/>
                  </pic:nvPicPr>
                  <pic:blipFill>
                    <a:blip xmlns:r="http://schemas.openxmlformats.org/officeDocument/2006/relationships" r:embed="rId5"/>
                    <a:stretch>
                      <a:fillRect/>
                    </a:stretch>
                  </pic:blipFill>
                  <pic:spPr>
                    <a:xfrm>
                      <a:off x="0" y="0"/>
                      <a:ext cx="4654873" cy="2000470"/>
                    </a:xfrm>
                    <a:prstGeom prst="rect">
                      <a:avLst/>
                    </a:prstGeom>
                  </pic:spPr>
                </pic:pic>
              </a:graphicData>
            </a:graphic>
          </wp:inline>
        </w:drawing>
      </w:r>
    </w:p>
    <w:p w:rsidR="00FF2891" w:rsidP="0054100C">
      <w:pPr>
        <w:autoSpaceDE w:val="0"/>
        <w:autoSpaceDN w:val="0"/>
        <w:adjustRightInd w:val="0"/>
        <w:spacing w:after="0"/>
        <w:rPr>
          <w:rFonts w:ascii="Verdana" w:hAnsi="Verdana"/>
          <w:bCs/>
          <w:sz w:val="20"/>
          <w:szCs w:val="20"/>
        </w:rPr>
      </w:pPr>
    </w:p>
    <w:p w:rsidR="0044236A" w:rsidP="0054100C">
      <w:pPr>
        <w:autoSpaceDE w:val="0"/>
        <w:autoSpaceDN w:val="0"/>
        <w:adjustRightInd w:val="0"/>
        <w:spacing w:after="0"/>
        <w:rPr>
          <w:rFonts w:ascii="Verdana" w:hAnsi="Verdana"/>
          <w:bCs/>
          <w:sz w:val="20"/>
          <w:szCs w:val="20"/>
        </w:rPr>
      </w:pPr>
      <w:r w:rsidRPr="004E5B54">
        <w:rPr>
          <w:rFonts w:ascii="Verdana" w:hAnsi="Verdana"/>
          <w:bCs/>
          <w:sz w:val="20"/>
          <w:szCs w:val="20"/>
        </w:rPr>
        <w:t>T</w:t>
      </w:r>
      <w:r w:rsidRPr="00635E0B">
        <w:rPr>
          <w:rFonts w:ascii="Verdana" w:hAnsi="Verdana" w:cs="Arial"/>
          <w:bCs/>
          <w:color w:val="183850" w:themeColor="text1"/>
          <w:sz w:val="20"/>
          <w:szCs w:val="20"/>
        </w:rPr>
        <w:t xml:space="preserve">he companies engaged with and the topics raised </w:t>
      </w:r>
      <w:r w:rsidRPr="00635E0B">
        <w:rPr>
          <w:rFonts w:ascii="Verdana" w:hAnsi="Verdana" w:cs="Arial"/>
          <w:bCs/>
          <w:color w:val="183850" w:themeColor="text1"/>
          <w:sz w:val="20"/>
          <w:szCs w:val="20"/>
        </w:rPr>
        <w:t xml:space="preserve">by LAPFF </w:t>
      </w:r>
      <w:r w:rsidRPr="00635E0B">
        <w:rPr>
          <w:rFonts w:ascii="Verdana" w:hAnsi="Verdana" w:cs="Arial"/>
          <w:bCs/>
          <w:color w:val="183850" w:themeColor="text1"/>
          <w:sz w:val="20"/>
          <w:szCs w:val="20"/>
        </w:rPr>
        <w:t xml:space="preserve">in Q4 </w:t>
      </w:r>
      <w:r w:rsidRPr="00635E0B">
        <w:rPr>
          <w:rFonts w:ascii="Verdana" w:hAnsi="Verdana" w:cs="Arial"/>
          <w:bCs/>
          <w:color w:val="183850" w:themeColor="text1"/>
          <w:sz w:val="20"/>
          <w:szCs w:val="20"/>
        </w:rPr>
        <w:t>were as follows:</w:t>
      </w:r>
    </w:p>
    <w:p w:rsidR="004E5B54" w:rsidRPr="004E5B54" w:rsidP="0054100C">
      <w:pPr>
        <w:autoSpaceDE w:val="0"/>
        <w:autoSpaceDN w:val="0"/>
        <w:adjustRightInd w:val="0"/>
        <w:spacing w:after="0"/>
        <w:rPr>
          <w:rFonts w:ascii="Verdana" w:hAnsi="Verdana"/>
          <w:bCs/>
          <w:sz w:val="20"/>
          <w:szCs w:val="20"/>
        </w:rPr>
      </w:pPr>
    </w:p>
    <w:p w:rsidR="0044236A" w:rsidP="0054100C">
      <w:pPr>
        <w:autoSpaceDE w:val="0"/>
        <w:autoSpaceDN w:val="0"/>
        <w:adjustRightInd w:val="0"/>
        <w:spacing w:after="0"/>
        <w:rPr>
          <w:rFonts w:ascii="Verdana" w:hAnsi="Verdana"/>
          <w:bCs/>
          <w:color w:val="183850" w:themeColor="text1"/>
          <w:sz w:val="20"/>
          <w:szCs w:val="20"/>
        </w:rPr>
      </w:pPr>
      <w:r>
        <w:rPr>
          <w:noProof/>
          <w:lang w:eastAsia="en-GB"/>
        </w:rPr>
        <w:drawing>
          <wp:inline distT="0" distB="0" distL="0" distR="0">
            <wp:extent cx="5705475" cy="5734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449826" name=""/>
                    <pic:cNvPicPr/>
                  </pic:nvPicPr>
                  <pic:blipFill rotWithShape="1">
                    <a:blip xmlns:r="http://schemas.openxmlformats.org/officeDocument/2006/relationships" r:embed="rId6"/>
                    <a:srcRect t="5167"/>
                    <a:stretch>
                      <a:fillRect/>
                    </a:stretch>
                  </pic:blipFill>
                  <pic:spPr bwMode="auto">
                    <a:xfrm>
                      <a:off x="0" y="0"/>
                      <a:ext cx="5705475" cy="57340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C24328" w:rsidP="00635E0B">
      <w:pPr>
        <w:jc w:val="both"/>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The quarterly statistics show that Climate Change </w:t>
      </w:r>
      <w:r w:rsidRPr="00635E0B">
        <w:rPr>
          <w:rFonts w:ascii="Verdana" w:hAnsi="Verdana" w:cs="Arial"/>
          <w:bCs/>
          <w:color w:val="183850" w:themeColor="text1"/>
          <w:sz w:val="20"/>
          <w:szCs w:val="20"/>
        </w:rPr>
        <w:t>continues to be the issue attracting greatest attention from LAPFF on behalf of member funds.</w:t>
      </w:r>
    </w:p>
    <w:p w:rsidR="00635E0B" w:rsidP="00635E0B">
      <w:pPr>
        <w:jc w:val="both"/>
        <w:rPr>
          <w:rFonts w:ascii="Verdana" w:hAnsi="Verdana" w:cs="Arial"/>
          <w:bCs/>
          <w:color w:val="183850" w:themeColor="text1"/>
          <w:sz w:val="20"/>
          <w:szCs w:val="20"/>
        </w:rPr>
      </w:pPr>
    </w:p>
    <w:p w:rsidR="00635E0B" w:rsidRPr="0065777F" w:rsidP="00635E0B">
      <w:pPr>
        <w:jc w:val="both"/>
        <w:rPr>
          <w:rFonts w:ascii="Verdana" w:hAnsi="Verdana" w:cs="Arial"/>
          <w:b/>
          <w:bCs/>
          <w:color w:val="183850" w:themeColor="text1"/>
          <w:sz w:val="20"/>
          <w:szCs w:val="20"/>
        </w:rPr>
      </w:pPr>
      <w:r w:rsidRPr="0065777F">
        <w:rPr>
          <w:rFonts w:ascii="Verdana" w:hAnsi="Verdana" w:cs="Arial"/>
          <w:b/>
          <w:bCs/>
          <w:color w:val="183850" w:themeColor="text1"/>
          <w:sz w:val="20"/>
          <w:szCs w:val="20"/>
        </w:rPr>
        <w:t>Climate Action 100+</w:t>
      </w:r>
    </w:p>
    <w:p w:rsidR="00635E0B" w:rsidRPr="00635E0B" w:rsidP="00635E0B">
      <w:pPr>
        <w:jc w:val="both"/>
        <w:rPr>
          <w:rFonts w:ascii="Verdana" w:hAnsi="Verdana" w:cs="Arial"/>
          <w:bCs/>
          <w:color w:val="183850" w:themeColor="text1"/>
          <w:sz w:val="20"/>
          <w:szCs w:val="20"/>
        </w:rPr>
      </w:pPr>
      <w:r>
        <w:rPr>
          <w:rFonts w:ascii="Verdana" w:hAnsi="Verdana" w:cs="Arial"/>
          <w:bCs/>
          <w:color w:val="183850" w:themeColor="text1"/>
          <w:sz w:val="20"/>
          <w:szCs w:val="20"/>
        </w:rPr>
        <w:t xml:space="preserve">LPP I </w:t>
      </w:r>
      <w:r>
        <w:rPr>
          <w:rFonts w:ascii="Verdana" w:hAnsi="Verdana" w:cs="Arial"/>
          <w:bCs/>
          <w:color w:val="183850" w:themeColor="text1"/>
          <w:sz w:val="20"/>
          <w:szCs w:val="20"/>
        </w:rPr>
        <w:t>has</w:t>
      </w:r>
      <w:r>
        <w:rPr>
          <w:rFonts w:ascii="Verdana" w:hAnsi="Verdana" w:cs="Arial"/>
          <w:bCs/>
          <w:color w:val="183850" w:themeColor="text1"/>
          <w:sz w:val="20"/>
          <w:szCs w:val="20"/>
        </w:rPr>
        <w:t xml:space="preserve"> </w:t>
      </w:r>
      <w:r>
        <w:rPr>
          <w:rFonts w:ascii="Verdana" w:hAnsi="Verdana" w:cs="Arial"/>
          <w:bCs/>
          <w:color w:val="183850" w:themeColor="text1"/>
          <w:sz w:val="20"/>
          <w:szCs w:val="20"/>
        </w:rPr>
        <w:t>c</w:t>
      </w:r>
      <w:r w:rsidRPr="0065777F">
        <w:rPr>
          <w:rFonts w:ascii="Verdana" w:hAnsi="Verdana" w:cs="Arial"/>
          <w:bCs/>
          <w:color w:val="183850" w:themeColor="text1"/>
          <w:sz w:val="20"/>
          <w:szCs w:val="20"/>
        </w:rPr>
        <w:t xml:space="preserve">ommitted to participating in Climate Action 100+. This is a five-year initiative led by investors to engage with the world’s </w:t>
      </w:r>
      <w:r w:rsidRPr="0065777F">
        <w:rPr>
          <w:rFonts w:ascii="Verdana" w:hAnsi="Verdana" w:cs="Arial"/>
          <w:bCs/>
          <w:color w:val="183850" w:themeColor="text1"/>
          <w:sz w:val="20"/>
          <w:szCs w:val="20"/>
        </w:rPr>
        <w:t>largest corporate greenhouse gas emitters to improve governance on climate change, curb emissions and strengthen climate-related financial disclosures.</w:t>
      </w:r>
      <w:r>
        <w:rPr>
          <w:rFonts w:ascii="Verdana" w:hAnsi="Verdana" w:cs="Arial"/>
          <w:bCs/>
          <w:color w:val="183850" w:themeColor="text1"/>
          <w:sz w:val="20"/>
          <w:szCs w:val="20"/>
        </w:rPr>
        <w:t xml:space="preserve"> For the UK and Europe, the initiative is being co-ordinated by the Institutional Investor Group on Clima</w:t>
      </w:r>
      <w:r>
        <w:rPr>
          <w:rFonts w:ascii="Verdana" w:hAnsi="Verdana" w:cs="Arial"/>
          <w:bCs/>
          <w:color w:val="183850" w:themeColor="text1"/>
          <w:sz w:val="20"/>
          <w:szCs w:val="20"/>
        </w:rPr>
        <w:t>te Change and the PRI and will involve collaborative engagements which bring the resources and concerns of institutional investors together as part of an agreed, organised and common approach.</w:t>
      </w:r>
    </w:p>
    <w:p w:rsidR="00197BA3" w:rsidRPr="008103F0" w:rsidP="008E62D7">
      <w:pPr>
        <w:pStyle w:val="ListParagraph"/>
        <w:numPr>
          <w:ilvl w:val="0"/>
          <w:numId w:val="5"/>
        </w:numPr>
        <w:autoSpaceDE w:val="0"/>
        <w:autoSpaceDN w:val="0"/>
        <w:adjustRightInd w:val="0"/>
        <w:spacing w:after="0"/>
        <w:ind w:hanging="720"/>
        <w:rPr>
          <w:rFonts w:ascii="Verdana" w:hAnsi="Verdana" w:cs="Arial"/>
          <w:b/>
          <w:bCs/>
          <w:color w:val="54BBAB" w:themeColor="text2"/>
          <w:sz w:val="20"/>
          <w:szCs w:val="20"/>
        </w:rPr>
      </w:pPr>
      <w:r w:rsidRPr="008103F0">
        <w:rPr>
          <w:rFonts w:ascii="Verdana" w:hAnsi="Verdana" w:cs="Arial"/>
          <w:b/>
          <w:bCs/>
          <w:color w:val="54BBAB" w:themeColor="text2"/>
          <w:sz w:val="20"/>
          <w:szCs w:val="20"/>
        </w:rPr>
        <w:t>Shareholder Litigation</w:t>
      </w:r>
    </w:p>
    <w:p w:rsidR="009F2C10" w:rsidRPr="008103F0" w:rsidP="003B4083">
      <w:pPr>
        <w:autoSpaceDE w:val="0"/>
        <w:autoSpaceDN w:val="0"/>
        <w:adjustRightInd w:val="0"/>
        <w:spacing w:after="0"/>
        <w:rPr>
          <w:rFonts w:ascii="Verdana" w:hAnsi="Verdana" w:cs="Arial"/>
          <w:color w:val="183850" w:themeColor="text1"/>
          <w:sz w:val="20"/>
          <w:szCs w:val="20"/>
        </w:rPr>
      </w:pPr>
    </w:p>
    <w:p w:rsidR="00601570" w:rsidRPr="00635E0B" w:rsidP="00635E0B">
      <w:pPr>
        <w:jc w:val="both"/>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LPP I </w:t>
      </w:r>
      <w:r w:rsidRPr="00635E0B">
        <w:rPr>
          <w:rFonts w:ascii="Verdana" w:hAnsi="Verdana" w:cs="Arial"/>
          <w:bCs/>
          <w:color w:val="183850" w:themeColor="text1"/>
          <w:sz w:val="20"/>
          <w:szCs w:val="20"/>
        </w:rPr>
        <w:t>employ</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Institutional Protection Services (IPS) as </w:t>
      </w:r>
      <w:r w:rsidRPr="00635E0B">
        <w:rPr>
          <w:rFonts w:ascii="Verdana" w:hAnsi="Verdana" w:cs="Arial"/>
          <w:bCs/>
          <w:color w:val="183850" w:themeColor="text1"/>
          <w:sz w:val="20"/>
          <w:szCs w:val="20"/>
        </w:rPr>
        <w:t xml:space="preserve">an external provider of litigation monitoring services to ensure </w:t>
      </w:r>
      <w:r w:rsidRPr="00635E0B">
        <w:rPr>
          <w:rFonts w:ascii="Verdana" w:hAnsi="Verdana" w:cs="Arial"/>
          <w:bCs/>
          <w:color w:val="183850" w:themeColor="text1"/>
          <w:sz w:val="20"/>
          <w:szCs w:val="20"/>
        </w:rPr>
        <w:t>shareholder litigation</w:t>
      </w:r>
      <w:r w:rsidRPr="00635E0B">
        <w:rPr>
          <w:rFonts w:ascii="Verdana" w:hAnsi="Verdana" w:cs="Arial"/>
          <w:bCs/>
          <w:color w:val="183850" w:themeColor="text1"/>
          <w:sz w:val="20"/>
          <w:szCs w:val="20"/>
        </w:rPr>
        <w:t xml:space="preserve"> case</w:t>
      </w:r>
      <w:r w:rsidRPr="00635E0B">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affecting securities </w:t>
      </w:r>
      <w:r w:rsidRPr="00635E0B">
        <w:rPr>
          <w:rFonts w:ascii="Verdana" w:hAnsi="Verdana" w:cs="Arial"/>
          <w:bCs/>
          <w:color w:val="183850" w:themeColor="text1"/>
          <w:sz w:val="20"/>
          <w:szCs w:val="20"/>
        </w:rPr>
        <w:t>owned by</w:t>
      </w:r>
      <w:r w:rsidRPr="00635E0B">
        <w:rPr>
          <w:rFonts w:ascii="Verdana" w:hAnsi="Verdana" w:cs="Arial"/>
          <w:bCs/>
          <w:color w:val="183850" w:themeColor="text1"/>
          <w:sz w:val="20"/>
          <w:szCs w:val="20"/>
        </w:rPr>
        <w:t xml:space="preserve"> the GEF </w:t>
      </w:r>
      <w:r w:rsidRPr="00635E0B">
        <w:rPr>
          <w:rFonts w:ascii="Verdana" w:hAnsi="Verdana" w:cs="Arial"/>
          <w:bCs/>
          <w:color w:val="183850" w:themeColor="text1"/>
          <w:sz w:val="20"/>
          <w:szCs w:val="20"/>
        </w:rPr>
        <w:t>are known about,</w:t>
      </w:r>
      <w:r w:rsidRPr="00635E0B">
        <w:rPr>
          <w:rFonts w:ascii="Verdana" w:hAnsi="Verdana" w:cs="Arial"/>
          <w:bCs/>
          <w:color w:val="183850" w:themeColor="text1"/>
          <w:sz w:val="20"/>
          <w:szCs w:val="20"/>
        </w:rPr>
        <w:t xml:space="preserve"> claims are filed in a timely way </w:t>
      </w:r>
      <w:r w:rsidRPr="00635E0B">
        <w:rPr>
          <w:rFonts w:ascii="Verdana" w:hAnsi="Verdana" w:cs="Arial"/>
          <w:bCs/>
          <w:color w:val="183850" w:themeColor="text1"/>
          <w:sz w:val="20"/>
          <w:szCs w:val="20"/>
        </w:rPr>
        <w:t>and progress is monitored and f</w:t>
      </w:r>
      <w:r w:rsidRPr="00635E0B">
        <w:rPr>
          <w:rFonts w:ascii="Verdana" w:hAnsi="Verdana" w:cs="Arial"/>
          <w:bCs/>
          <w:color w:val="183850" w:themeColor="text1"/>
          <w:sz w:val="20"/>
          <w:szCs w:val="20"/>
        </w:rPr>
        <w:t>ollo</w:t>
      </w:r>
      <w:r w:rsidRPr="00635E0B">
        <w:rPr>
          <w:rFonts w:ascii="Verdana" w:hAnsi="Verdana" w:cs="Arial"/>
          <w:bCs/>
          <w:color w:val="183850" w:themeColor="text1"/>
          <w:sz w:val="20"/>
          <w:szCs w:val="20"/>
        </w:rPr>
        <w:t>wed up</w:t>
      </w:r>
      <w:r w:rsidRPr="00635E0B">
        <w:rPr>
          <w:rFonts w:ascii="Verdana" w:hAnsi="Verdana" w:cs="Arial"/>
          <w:bCs/>
          <w:color w:val="183850" w:themeColor="text1"/>
          <w:sz w:val="20"/>
          <w:szCs w:val="20"/>
        </w:rPr>
        <w:t xml:space="preserve"> with Claims A</w:t>
      </w:r>
      <w:r w:rsidRPr="00635E0B">
        <w:rPr>
          <w:rFonts w:ascii="Verdana" w:hAnsi="Verdana" w:cs="Arial"/>
          <w:bCs/>
          <w:color w:val="183850" w:themeColor="text1"/>
          <w:sz w:val="20"/>
          <w:szCs w:val="20"/>
        </w:rPr>
        <w:t>dministrators</w:t>
      </w:r>
      <w:r w:rsidRPr="00635E0B">
        <w:rPr>
          <w:rFonts w:ascii="Verdana" w:hAnsi="Verdana" w:cs="Arial"/>
          <w:bCs/>
          <w:color w:val="183850" w:themeColor="text1"/>
          <w:sz w:val="20"/>
          <w:szCs w:val="20"/>
        </w:rPr>
        <w:t>.</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In addition, IPS monito</w:t>
      </w:r>
      <w:r w:rsidRPr="00635E0B">
        <w:rPr>
          <w:rFonts w:ascii="Verdana" w:hAnsi="Verdana" w:cs="Arial"/>
          <w:bCs/>
          <w:color w:val="183850" w:themeColor="text1"/>
          <w:sz w:val="20"/>
          <w:szCs w:val="20"/>
        </w:rPr>
        <w:t xml:space="preserve">r </w:t>
      </w:r>
      <w:r w:rsidRPr="00635E0B">
        <w:rPr>
          <w:rFonts w:ascii="Verdana" w:hAnsi="Verdana" w:cs="Arial"/>
          <w:bCs/>
          <w:color w:val="183850" w:themeColor="text1"/>
          <w:sz w:val="20"/>
          <w:szCs w:val="20"/>
        </w:rPr>
        <w:t xml:space="preserve">cases </w:t>
      </w:r>
      <w:r w:rsidRPr="00635E0B">
        <w:rPr>
          <w:rFonts w:ascii="Verdana" w:hAnsi="Verdana" w:cs="Arial"/>
          <w:bCs/>
          <w:color w:val="183850" w:themeColor="text1"/>
          <w:sz w:val="20"/>
          <w:szCs w:val="20"/>
        </w:rPr>
        <w:t>relating</w:t>
      </w:r>
      <w:r w:rsidRPr="00635E0B">
        <w:rPr>
          <w:rFonts w:ascii="Verdana" w:hAnsi="Verdana" w:cs="Arial"/>
          <w:bCs/>
          <w:color w:val="183850" w:themeColor="text1"/>
          <w:sz w:val="20"/>
          <w:szCs w:val="20"/>
        </w:rPr>
        <w:t xml:space="preserve"> to </w:t>
      </w:r>
      <w:r w:rsidRPr="00635E0B">
        <w:rPr>
          <w:rFonts w:ascii="Verdana" w:hAnsi="Verdana" w:cs="Arial"/>
          <w:bCs/>
          <w:color w:val="183850" w:themeColor="text1"/>
          <w:sz w:val="20"/>
          <w:szCs w:val="20"/>
        </w:rPr>
        <w:t>shares</w:t>
      </w:r>
      <w:r w:rsidRPr="00635E0B">
        <w:rPr>
          <w:rFonts w:ascii="Verdana" w:hAnsi="Verdana" w:cs="Arial"/>
          <w:bCs/>
          <w:color w:val="183850" w:themeColor="text1"/>
          <w:sz w:val="20"/>
          <w:szCs w:val="20"/>
        </w:rPr>
        <w:t xml:space="preserve"> held by LCPF </w:t>
      </w:r>
      <w:r w:rsidRPr="00635E0B">
        <w:rPr>
          <w:rFonts w:ascii="Verdana" w:hAnsi="Verdana" w:cs="Arial"/>
          <w:bCs/>
          <w:color w:val="183850" w:themeColor="text1"/>
          <w:sz w:val="20"/>
          <w:szCs w:val="20"/>
        </w:rPr>
        <w:t xml:space="preserve">in the period </w:t>
      </w:r>
      <w:r w:rsidRPr="00635E0B">
        <w:rPr>
          <w:rFonts w:ascii="Verdana" w:hAnsi="Verdana" w:cs="Arial"/>
          <w:bCs/>
          <w:color w:val="183850" w:themeColor="text1"/>
          <w:sz w:val="20"/>
          <w:szCs w:val="20"/>
        </w:rPr>
        <w:t xml:space="preserve">before the Fund pooled its listed equity investments from November 2016.  </w:t>
      </w:r>
      <w:r w:rsidRPr="00635E0B">
        <w:rPr>
          <w:rFonts w:ascii="Verdana" w:hAnsi="Verdana" w:cs="Arial"/>
          <w:bCs/>
          <w:color w:val="183850" w:themeColor="text1"/>
          <w:sz w:val="20"/>
          <w:szCs w:val="20"/>
        </w:rPr>
        <w:t xml:space="preserve">Litigation </w:t>
      </w:r>
      <w:r w:rsidRPr="00635E0B">
        <w:rPr>
          <w:rFonts w:ascii="Verdana" w:hAnsi="Verdana" w:cs="Arial"/>
          <w:bCs/>
          <w:color w:val="183850" w:themeColor="text1"/>
          <w:sz w:val="20"/>
          <w:szCs w:val="20"/>
        </w:rPr>
        <w:t>can</w:t>
      </w:r>
      <w:r w:rsidRPr="00635E0B">
        <w:rPr>
          <w:rFonts w:ascii="Verdana" w:hAnsi="Verdana" w:cs="Arial"/>
          <w:bCs/>
          <w:color w:val="183850" w:themeColor="text1"/>
          <w:sz w:val="20"/>
          <w:szCs w:val="20"/>
        </w:rPr>
        <w:t xml:space="preserve"> arise </w:t>
      </w:r>
      <w:r w:rsidRPr="00635E0B">
        <w:rPr>
          <w:rFonts w:ascii="Verdana" w:hAnsi="Verdana" w:cs="Arial"/>
          <w:bCs/>
          <w:color w:val="183850" w:themeColor="text1"/>
          <w:sz w:val="20"/>
          <w:szCs w:val="20"/>
        </w:rPr>
        <w:t xml:space="preserve">quite </w:t>
      </w:r>
      <w:r w:rsidRPr="00635E0B">
        <w:rPr>
          <w:rFonts w:ascii="Verdana" w:hAnsi="Verdana" w:cs="Arial"/>
          <w:bCs/>
          <w:color w:val="183850" w:themeColor="text1"/>
          <w:sz w:val="20"/>
          <w:szCs w:val="20"/>
        </w:rPr>
        <w:t>some</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time after </w:t>
      </w:r>
      <w:r w:rsidRPr="00635E0B">
        <w:rPr>
          <w:rFonts w:ascii="Verdana" w:hAnsi="Verdana" w:cs="Arial"/>
          <w:bCs/>
          <w:color w:val="183850" w:themeColor="text1"/>
          <w:sz w:val="20"/>
          <w:szCs w:val="20"/>
        </w:rPr>
        <w:t>share</w:t>
      </w:r>
      <w:r w:rsidRPr="00635E0B">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have been sold and </w:t>
      </w:r>
      <w:r w:rsidRPr="00635E0B">
        <w:rPr>
          <w:rFonts w:ascii="Verdana" w:hAnsi="Verdana" w:cs="Arial"/>
          <w:bCs/>
          <w:color w:val="183850" w:themeColor="text1"/>
          <w:sz w:val="20"/>
          <w:szCs w:val="20"/>
        </w:rPr>
        <w:t xml:space="preserve">monitoring </w:t>
      </w:r>
      <w:r w:rsidRPr="00635E0B">
        <w:rPr>
          <w:rFonts w:ascii="Verdana" w:hAnsi="Verdana" w:cs="Arial"/>
          <w:bCs/>
          <w:color w:val="183850" w:themeColor="text1"/>
          <w:sz w:val="20"/>
          <w:szCs w:val="20"/>
        </w:rPr>
        <w:t xml:space="preserve">new cases and referring back to historic holdings </w:t>
      </w:r>
      <w:r w:rsidRPr="00635E0B">
        <w:rPr>
          <w:rFonts w:ascii="Verdana" w:hAnsi="Verdana" w:cs="Arial"/>
          <w:bCs/>
          <w:color w:val="183850" w:themeColor="text1"/>
          <w:sz w:val="20"/>
          <w:szCs w:val="20"/>
        </w:rPr>
        <w:t xml:space="preserve">records </w:t>
      </w:r>
      <w:r w:rsidRPr="00635E0B">
        <w:rPr>
          <w:rFonts w:ascii="Verdana" w:hAnsi="Verdana" w:cs="Arial"/>
          <w:bCs/>
          <w:color w:val="183850" w:themeColor="text1"/>
          <w:sz w:val="20"/>
          <w:szCs w:val="20"/>
        </w:rPr>
        <w:t>to establish rights of ownership is an ongoing task.</w:t>
      </w:r>
    </w:p>
    <w:p w:rsidR="00EC3178" w:rsidRPr="00635E0B" w:rsidP="00635E0B">
      <w:pPr>
        <w:jc w:val="both"/>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IPS provide LPP </w:t>
      </w:r>
      <w:r w:rsidRPr="00635E0B">
        <w:rPr>
          <w:rFonts w:ascii="Verdana" w:hAnsi="Verdana" w:cs="Arial"/>
          <w:bCs/>
          <w:color w:val="183850" w:themeColor="text1"/>
          <w:sz w:val="20"/>
          <w:szCs w:val="20"/>
        </w:rPr>
        <w:t xml:space="preserve">I </w:t>
      </w:r>
      <w:r w:rsidRPr="00635E0B">
        <w:rPr>
          <w:rFonts w:ascii="Verdana" w:hAnsi="Verdana" w:cs="Arial"/>
          <w:bCs/>
          <w:color w:val="183850" w:themeColor="text1"/>
          <w:sz w:val="20"/>
          <w:szCs w:val="20"/>
        </w:rPr>
        <w:t>with</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m</w:t>
      </w:r>
      <w:r w:rsidRPr="00635E0B">
        <w:rPr>
          <w:rFonts w:ascii="Verdana" w:hAnsi="Verdana" w:cs="Arial"/>
          <w:bCs/>
          <w:color w:val="183850" w:themeColor="text1"/>
          <w:sz w:val="20"/>
          <w:szCs w:val="20"/>
        </w:rPr>
        <w:t xml:space="preserve">onitoring </w:t>
      </w:r>
      <w:r w:rsidRPr="00635E0B">
        <w:rPr>
          <w:rFonts w:ascii="Verdana" w:hAnsi="Verdana" w:cs="Arial"/>
          <w:bCs/>
          <w:color w:val="183850" w:themeColor="text1"/>
          <w:sz w:val="20"/>
          <w:szCs w:val="20"/>
        </w:rPr>
        <w:t>information</w:t>
      </w:r>
      <w:r w:rsidRPr="00635E0B">
        <w:rPr>
          <w:rFonts w:ascii="Verdana" w:hAnsi="Verdana" w:cs="Arial"/>
          <w:bCs/>
          <w:color w:val="183850" w:themeColor="text1"/>
          <w:sz w:val="20"/>
          <w:szCs w:val="20"/>
        </w:rPr>
        <w:t xml:space="preserve"> on a quarterly basis </w:t>
      </w:r>
      <w:r w:rsidRPr="00635E0B">
        <w:rPr>
          <w:rFonts w:ascii="Verdana" w:hAnsi="Verdana" w:cs="Arial"/>
          <w:bCs/>
          <w:color w:val="183850" w:themeColor="text1"/>
          <w:sz w:val="20"/>
          <w:szCs w:val="20"/>
        </w:rPr>
        <w:t>detailing</w:t>
      </w:r>
      <w:r w:rsidRPr="00635E0B">
        <w:rPr>
          <w:rFonts w:ascii="Verdana" w:hAnsi="Verdana" w:cs="Arial"/>
          <w:bCs/>
          <w:color w:val="183850" w:themeColor="text1"/>
          <w:sz w:val="20"/>
          <w:szCs w:val="20"/>
        </w:rPr>
        <w:t xml:space="preserve"> the number of cases investiga</w:t>
      </w:r>
      <w:r w:rsidRPr="00635E0B">
        <w:rPr>
          <w:rFonts w:ascii="Verdana" w:hAnsi="Verdana" w:cs="Arial"/>
          <w:bCs/>
          <w:color w:val="183850" w:themeColor="text1"/>
          <w:sz w:val="20"/>
          <w:szCs w:val="20"/>
        </w:rPr>
        <w:t>ted</w:t>
      </w:r>
      <w:r w:rsidRPr="00635E0B">
        <w:rPr>
          <w:rFonts w:ascii="Verdana" w:hAnsi="Verdana" w:cs="Arial"/>
          <w:bCs/>
          <w:color w:val="183850" w:themeColor="text1"/>
          <w:sz w:val="20"/>
          <w:szCs w:val="20"/>
        </w:rPr>
        <w:t>.</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The </w:t>
      </w:r>
      <w:r w:rsidRPr="00635E0B">
        <w:rPr>
          <w:rFonts w:ascii="Verdana" w:hAnsi="Verdana" w:cs="Arial"/>
          <w:bCs/>
          <w:color w:val="183850" w:themeColor="text1"/>
          <w:sz w:val="20"/>
          <w:szCs w:val="20"/>
        </w:rPr>
        <w:t xml:space="preserve">monitoring </w:t>
      </w:r>
      <w:r w:rsidRPr="00635E0B">
        <w:rPr>
          <w:rFonts w:ascii="Verdana" w:hAnsi="Verdana" w:cs="Arial"/>
          <w:bCs/>
          <w:color w:val="183850" w:themeColor="text1"/>
          <w:sz w:val="20"/>
          <w:szCs w:val="20"/>
        </w:rPr>
        <w:t xml:space="preserve">report </w:t>
      </w:r>
      <w:r w:rsidRPr="00635E0B">
        <w:rPr>
          <w:rFonts w:ascii="Verdana" w:hAnsi="Verdana" w:cs="Arial"/>
          <w:bCs/>
          <w:color w:val="183850" w:themeColor="text1"/>
          <w:sz w:val="20"/>
          <w:szCs w:val="20"/>
        </w:rPr>
        <w:t xml:space="preserve">provided </w:t>
      </w:r>
      <w:r w:rsidRPr="00635E0B">
        <w:rPr>
          <w:rFonts w:ascii="Verdana" w:hAnsi="Verdana" w:cs="Arial"/>
          <w:bCs/>
          <w:color w:val="183850" w:themeColor="text1"/>
          <w:sz w:val="20"/>
          <w:szCs w:val="20"/>
        </w:rPr>
        <w:t>for Q</w:t>
      </w:r>
      <w:r w:rsidRPr="00635E0B">
        <w:rPr>
          <w:rFonts w:ascii="Verdana" w:hAnsi="Verdana" w:cs="Arial"/>
          <w:bCs/>
          <w:color w:val="183850" w:themeColor="text1"/>
          <w:sz w:val="20"/>
          <w:szCs w:val="20"/>
        </w:rPr>
        <w:t>4</w:t>
      </w:r>
      <w:r w:rsidRPr="00635E0B">
        <w:rPr>
          <w:rFonts w:ascii="Verdana" w:hAnsi="Verdana" w:cs="Arial"/>
          <w:bCs/>
          <w:color w:val="183850" w:themeColor="text1"/>
          <w:sz w:val="20"/>
          <w:szCs w:val="20"/>
        </w:rPr>
        <w:t xml:space="preserve"> 2017</w:t>
      </w:r>
      <w:r w:rsidRPr="00635E0B">
        <w:rPr>
          <w:rFonts w:ascii="Verdana" w:hAnsi="Verdana" w:cs="Arial"/>
          <w:bCs/>
          <w:color w:val="183850" w:themeColor="text1"/>
          <w:sz w:val="20"/>
          <w:szCs w:val="20"/>
        </w:rPr>
        <w:t xml:space="preserve"> confirmed that </w:t>
      </w:r>
      <w:r w:rsidRPr="00635E0B">
        <w:rPr>
          <w:rFonts w:ascii="Verdana" w:hAnsi="Verdana" w:cs="Arial"/>
          <w:bCs/>
          <w:color w:val="183850" w:themeColor="text1"/>
          <w:sz w:val="20"/>
          <w:szCs w:val="20"/>
        </w:rPr>
        <w:t xml:space="preserve">whilst </w:t>
      </w:r>
      <w:r w:rsidRPr="00635E0B">
        <w:rPr>
          <w:rFonts w:ascii="Verdana" w:hAnsi="Verdana" w:cs="Arial"/>
          <w:bCs/>
          <w:color w:val="183850" w:themeColor="text1"/>
          <w:sz w:val="20"/>
          <w:szCs w:val="20"/>
        </w:rPr>
        <w:t>2</w:t>
      </w:r>
      <w:r w:rsidRPr="00635E0B">
        <w:rPr>
          <w:rFonts w:ascii="Verdana" w:hAnsi="Verdana" w:cs="Arial"/>
          <w:bCs/>
          <w:color w:val="183850" w:themeColor="text1"/>
          <w:sz w:val="20"/>
          <w:szCs w:val="20"/>
        </w:rPr>
        <w:t xml:space="preserve"> potential new cases </w:t>
      </w:r>
      <w:r w:rsidRPr="00635E0B">
        <w:rPr>
          <w:rFonts w:ascii="Verdana" w:hAnsi="Verdana" w:cs="Arial"/>
          <w:bCs/>
          <w:color w:val="183850" w:themeColor="text1"/>
          <w:sz w:val="20"/>
          <w:szCs w:val="20"/>
        </w:rPr>
        <w:t xml:space="preserve">were identified </w:t>
      </w:r>
      <w:r w:rsidRPr="00635E0B">
        <w:rPr>
          <w:rFonts w:ascii="Verdana" w:hAnsi="Verdana" w:cs="Arial"/>
          <w:bCs/>
          <w:color w:val="183850" w:themeColor="text1"/>
          <w:sz w:val="20"/>
          <w:szCs w:val="20"/>
        </w:rPr>
        <w:t>where the Fund might have an entitlement to join an action</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f</w:t>
      </w:r>
      <w:r w:rsidRPr="00635E0B">
        <w:rPr>
          <w:rFonts w:ascii="Verdana" w:hAnsi="Verdana" w:cs="Arial"/>
          <w:bCs/>
          <w:color w:val="183850" w:themeColor="text1"/>
          <w:sz w:val="20"/>
          <w:szCs w:val="20"/>
        </w:rPr>
        <w:t xml:space="preserve">urther analysis </w:t>
      </w:r>
      <w:r w:rsidRPr="00635E0B">
        <w:rPr>
          <w:rFonts w:ascii="Verdana" w:hAnsi="Verdana" w:cs="Arial"/>
          <w:bCs/>
          <w:color w:val="183850" w:themeColor="text1"/>
          <w:sz w:val="20"/>
          <w:szCs w:val="20"/>
        </w:rPr>
        <w:t xml:space="preserve">had </w:t>
      </w:r>
      <w:r w:rsidRPr="00635E0B">
        <w:rPr>
          <w:rFonts w:ascii="Verdana" w:hAnsi="Verdana" w:cs="Arial"/>
          <w:bCs/>
          <w:color w:val="183850" w:themeColor="text1"/>
          <w:sz w:val="20"/>
          <w:szCs w:val="20"/>
        </w:rPr>
        <w:t xml:space="preserve">ultimately </w:t>
      </w:r>
      <w:r w:rsidRPr="00635E0B">
        <w:rPr>
          <w:rFonts w:ascii="Verdana" w:hAnsi="Verdana" w:cs="Arial"/>
          <w:bCs/>
          <w:color w:val="183850" w:themeColor="text1"/>
          <w:sz w:val="20"/>
          <w:szCs w:val="20"/>
        </w:rPr>
        <w:t xml:space="preserve">discounted </w:t>
      </w:r>
      <w:r w:rsidRPr="00635E0B">
        <w:rPr>
          <w:rFonts w:ascii="Verdana" w:hAnsi="Verdana" w:cs="Arial"/>
          <w:bCs/>
          <w:color w:val="183850" w:themeColor="text1"/>
          <w:sz w:val="20"/>
          <w:szCs w:val="20"/>
        </w:rPr>
        <w:t>both.</w:t>
      </w:r>
      <w:r w:rsidRPr="00635E0B">
        <w:rPr>
          <w:rFonts w:ascii="Verdana" w:hAnsi="Verdana" w:cs="Arial"/>
          <w:bCs/>
          <w:color w:val="183850" w:themeColor="text1"/>
          <w:sz w:val="20"/>
          <w:szCs w:val="20"/>
        </w:rPr>
        <w:t xml:space="preserve"> </w:t>
      </w:r>
    </w:p>
    <w:p w:rsidR="00E50F74" w:rsidRPr="008103F0" w:rsidP="003B4083">
      <w:pPr>
        <w:pStyle w:val="Default"/>
        <w:rPr>
          <w:rFonts w:ascii="Verdana" w:hAnsi="Verdana" w:cs="Arial"/>
          <w:b/>
          <w:bCs/>
          <w:color w:val="54BBAB" w:themeColor="text2"/>
          <w:sz w:val="20"/>
          <w:szCs w:val="20"/>
        </w:rPr>
      </w:pPr>
    </w:p>
    <w:p w:rsidR="00197BA3" w:rsidP="008E62D7">
      <w:pPr>
        <w:pStyle w:val="ListParagraph"/>
        <w:numPr>
          <w:ilvl w:val="0"/>
          <w:numId w:val="5"/>
        </w:numPr>
        <w:autoSpaceDE w:val="0"/>
        <w:autoSpaceDN w:val="0"/>
        <w:adjustRightInd w:val="0"/>
        <w:spacing w:after="0"/>
        <w:ind w:hanging="720"/>
        <w:rPr>
          <w:rFonts w:ascii="Verdana" w:hAnsi="Verdana" w:cs="Arial"/>
          <w:b/>
          <w:bCs/>
          <w:color w:val="54BBAB" w:themeColor="text2"/>
          <w:sz w:val="20"/>
          <w:szCs w:val="20"/>
        </w:rPr>
      </w:pPr>
      <w:r w:rsidRPr="008103F0">
        <w:rPr>
          <w:rFonts w:ascii="Verdana" w:hAnsi="Verdana" w:cs="Arial"/>
          <w:b/>
          <w:bCs/>
          <w:color w:val="54BBAB" w:themeColor="text2"/>
          <w:sz w:val="20"/>
          <w:szCs w:val="20"/>
        </w:rPr>
        <w:t>Active Investing</w:t>
      </w:r>
    </w:p>
    <w:p w:rsidR="00B67A56" w:rsidRPr="00DB514E" w:rsidP="00DB514E">
      <w:pPr>
        <w:spacing w:after="0"/>
        <w:jc w:val="both"/>
        <w:rPr>
          <w:rFonts w:ascii="Verdana" w:hAnsi="Verdana"/>
          <w:bCs/>
          <w:sz w:val="20"/>
          <w:szCs w:val="20"/>
        </w:rPr>
      </w:pPr>
    </w:p>
    <w:p w:rsidR="001B6BBC" w:rsidRPr="00635E0B" w:rsidP="00635E0B">
      <w:pPr>
        <w:spacing w:after="0"/>
        <w:jc w:val="both"/>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This section of the RI report is dedicated to updating the Committee on </w:t>
      </w:r>
      <w:r w:rsidRPr="00635E0B">
        <w:rPr>
          <w:rFonts w:ascii="Verdana" w:hAnsi="Verdana" w:cs="Arial"/>
          <w:bCs/>
          <w:color w:val="183850" w:themeColor="text1"/>
          <w:sz w:val="20"/>
          <w:szCs w:val="20"/>
        </w:rPr>
        <w:t>new</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developments within stewardship and RI and interpreting these within the context of the Fund's responsibilities and interests.</w:t>
      </w:r>
    </w:p>
    <w:p w:rsidR="001B6BBC" w:rsidRPr="00635E0B" w:rsidP="00635E0B">
      <w:pPr>
        <w:spacing w:after="0"/>
        <w:jc w:val="both"/>
        <w:rPr>
          <w:rFonts w:ascii="Verdana" w:hAnsi="Verdana" w:cs="Arial"/>
          <w:bCs/>
          <w:color w:val="183850" w:themeColor="text1"/>
          <w:sz w:val="20"/>
          <w:szCs w:val="20"/>
        </w:rPr>
      </w:pPr>
    </w:p>
    <w:p w:rsidR="00283080" w:rsidRPr="00635E0B" w:rsidP="00635E0B">
      <w:pPr>
        <w:spacing w:after="0"/>
        <w:jc w:val="both"/>
        <w:rPr>
          <w:rFonts w:ascii="Verdana" w:hAnsi="Verdana" w:cs="Arial"/>
          <w:b/>
          <w:bCs/>
          <w:color w:val="183850" w:themeColor="text1"/>
          <w:sz w:val="20"/>
          <w:szCs w:val="20"/>
        </w:rPr>
      </w:pPr>
      <w:r w:rsidRPr="00635E0B">
        <w:rPr>
          <w:rFonts w:ascii="Verdana" w:hAnsi="Verdana" w:cs="Arial"/>
          <w:b/>
          <w:bCs/>
          <w:color w:val="183850" w:themeColor="text1"/>
          <w:sz w:val="20"/>
          <w:szCs w:val="20"/>
        </w:rPr>
        <w:t>Principles of Responsible Investment</w:t>
      </w:r>
      <w:r w:rsidRPr="00635E0B">
        <w:rPr>
          <w:rFonts w:ascii="Verdana" w:hAnsi="Verdana" w:cs="Arial"/>
          <w:b/>
          <w:bCs/>
          <w:color w:val="183850" w:themeColor="text1"/>
          <w:sz w:val="20"/>
          <w:szCs w:val="20"/>
        </w:rPr>
        <w:t xml:space="preserve"> </w:t>
      </w:r>
      <w:r w:rsidRPr="00635E0B">
        <w:rPr>
          <w:rFonts w:ascii="Verdana" w:hAnsi="Verdana" w:cs="Arial"/>
          <w:b/>
          <w:bCs/>
          <w:color w:val="183850" w:themeColor="text1"/>
          <w:sz w:val="20"/>
          <w:szCs w:val="20"/>
        </w:rPr>
        <w:t xml:space="preserve">(PRI) </w:t>
      </w:r>
      <w:r w:rsidRPr="00635E0B">
        <w:rPr>
          <w:rFonts w:ascii="Verdana" w:hAnsi="Verdana" w:cs="Arial"/>
          <w:b/>
          <w:bCs/>
          <w:color w:val="183850" w:themeColor="text1"/>
          <w:sz w:val="20"/>
          <w:szCs w:val="20"/>
        </w:rPr>
        <w:t>–</w:t>
      </w:r>
      <w:r w:rsidRPr="00635E0B">
        <w:rPr>
          <w:rFonts w:ascii="Verdana" w:hAnsi="Verdana" w:cs="Arial"/>
          <w:b/>
          <w:bCs/>
          <w:color w:val="183850" w:themeColor="text1"/>
          <w:sz w:val="20"/>
          <w:szCs w:val="20"/>
        </w:rPr>
        <w:t xml:space="preserve"> 2018 Annual Reporting </w:t>
      </w:r>
      <w:r w:rsidRPr="00635E0B">
        <w:rPr>
          <w:rFonts w:ascii="Verdana" w:hAnsi="Verdana" w:cs="Arial"/>
          <w:b/>
          <w:bCs/>
          <w:color w:val="183850" w:themeColor="text1"/>
          <w:sz w:val="20"/>
          <w:szCs w:val="20"/>
        </w:rPr>
        <w:t>Round and LGPS Pool Membership</w:t>
      </w:r>
    </w:p>
    <w:p w:rsidR="00154B45" w:rsidRPr="00635E0B" w:rsidP="00635E0B">
      <w:pPr>
        <w:spacing w:after="0"/>
        <w:jc w:val="both"/>
        <w:rPr>
          <w:rFonts w:ascii="Verdana" w:hAnsi="Verdana" w:cs="Arial"/>
          <w:bCs/>
          <w:color w:val="183850" w:themeColor="text1"/>
          <w:sz w:val="20"/>
          <w:szCs w:val="20"/>
        </w:rPr>
      </w:pPr>
    </w:p>
    <w:p w:rsidR="00283080" w:rsidRPr="00635E0B" w:rsidP="00635E0B">
      <w:pPr>
        <w:spacing w:after="0"/>
        <w:jc w:val="both"/>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At its last meeting </w:t>
      </w:r>
      <w:r w:rsidRPr="00635E0B">
        <w:rPr>
          <w:rFonts w:ascii="Verdana" w:hAnsi="Verdana" w:cs="Arial"/>
          <w:bCs/>
          <w:color w:val="183850" w:themeColor="text1"/>
          <w:sz w:val="20"/>
          <w:szCs w:val="20"/>
        </w:rPr>
        <w:t xml:space="preserve">the Committee </w:t>
      </w:r>
      <w:r w:rsidRPr="00635E0B">
        <w:rPr>
          <w:rFonts w:ascii="Verdana" w:hAnsi="Verdana" w:cs="Arial"/>
          <w:bCs/>
          <w:color w:val="183850" w:themeColor="text1"/>
          <w:sz w:val="20"/>
          <w:szCs w:val="20"/>
        </w:rPr>
        <w:t xml:space="preserve">received the Assessment Report </w:t>
      </w:r>
      <w:r w:rsidRPr="00635E0B">
        <w:rPr>
          <w:rFonts w:ascii="Verdana" w:hAnsi="Verdana" w:cs="Arial"/>
          <w:bCs/>
          <w:color w:val="183850" w:themeColor="text1"/>
          <w:sz w:val="20"/>
          <w:szCs w:val="20"/>
        </w:rPr>
        <w:t>for</w:t>
      </w:r>
      <w:r w:rsidRPr="00635E0B">
        <w:rPr>
          <w:rFonts w:ascii="Verdana" w:hAnsi="Verdana" w:cs="Arial"/>
          <w:bCs/>
          <w:color w:val="183850" w:themeColor="text1"/>
          <w:sz w:val="20"/>
          <w:szCs w:val="20"/>
        </w:rPr>
        <w:t xml:space="preserve"> the Fund’s first set of annual reporting against the PRI Principles. 2017 was the first year in which </w:t>
      </w:r>
      <w:r w:rsidRPr="00635E0B">
        <w:rPr>
          <w:rFonts w:ascii="Verdana" w:hAnsi="Verdana" w:cs="Arial"/>
          <w:bCs/>
          <w:color w:val="183850" w:themeColor="text1"/>
          <w:sz w:val="20"/>
          <w:szCs w:val="20"/>
        </w:rPr>
        <w:t xml:space="preserve">it was mandatory for LCPF </w:t>
      </w:r>
      <w:r w:rsidRPr="00635E0B">
        <w:rPr>
          <w:rFonts w:ascii="Verdana" w:hAnsi="Verdana" w:cs="Arial"/>
          <w:bCs/>
          <w:color w:val="183850" w:themeColor="text1"/>
          <w:sz w:val="20"/>
          <w:szCs w:val="20"/>
        </w:rPr>
        <w:t xml:space="preserve">to report </w:t>
      </w:r>
      <w:r w:rsidRPr="00635E0B">
        <w:rPr>
          <w:rFonts w:ascii="Verdana" w:hAnsi="Verdana" w:cs="Arial"/>
          <w:bCs/>
          <w:color w:val="183850" w:themeColor="text1"/>
          <w:sz w:val="20"/>
          <w:szCs w:val="20"/>
        </w:rPr>
        <w:t xml:space="preserve">as a </w:t>
      </w:r>
      <w:r w:rsidRPr="00635E0B">
        <w:rPr>
          <w:rFonts w:ascii="Verdana" w:hAnsi="Verdana" w:cs="Arial"/>
          <w:bCs/>
          <w:color w:val="183850" w:themeColor="text1"/>
          <w:sz w:val="20"/>
          <w:szCs w:val="20"/>
        </w:rPr>
        <w:t xml:space="preserve">PRI </w:t>
      </w:r>
      <w:r w:rsidRPr="00635E0B">
        <w:rPr>
          <w:rFonts w:ascii="Verdana" w:hAnsi="Verdana" w:cs="Arial"/>
          <w:bCs/>
          <w:color w:val="183850" w:themeColor="text1"/>
          <w:sz w:val="20"/>
          <w:szCs w:val="20"/>
        </w:rPr>
        <w:t>signatory</w:t>
      </w:r>
      <w:r w:rsidRPr="00635E0B">
        <w:rPr>
          <w:rFonts w:ascii="Verdana" w:hAnsi="Verdana" w:cs="Arial"/>
          <w:bCs/>
          <w:color w:val="183850" w:themeColor="text1"/>
          <w:sz w:val="20"/>
          <w:szCs w:val="20"/>
        </w:rPr>
        <w:t xml:space="preserve">. Reporting </w:t>
      </w:r>
      <w:r w:rsidRPr="00635E0B">
        <w:rPr>
          <w:rFonts w:ascii="Verdana" w:hAnsi="Verdana" w:cs="Arial"/>
          <w:bCs/>
          <w:color w:val="183850" w:themeColor="text1"/>
          <w:sz w:val="20"/>
          <w:szCs w:val="20"/>
        </w:rPr>
        <w:t xml:space="preserve">covered </w:t>
      </w:r>
      <w:r w:rsidRPr="00635E0B">
        <w:rPr>
          <w:rFonts w:ascii="Verdana" w:hAnsi="Verdana" w:cs="Arial"/>
          <w:bCs/>
          <w:color w:val="183850" w:themeColor="text1"/>
          <w:sz w:val="20"/>
          <w:szCs w:val="20"/>
        </w:rPr>
        <w:t>the period</w:t>
      </w:r>
      <w:r w:rsidRPr="00635E0B">
        <w:rPr>
          <w:rFonts w:ascii="Verdana" w:hAnsi="Verdana" w:cs="Arial"/>
          <w:bCs/>
          <w:color w:val="183850" w:themeColor="text1"/>
          <w:sz w:val="20"/>
          <w:szCs w:val="20"/>
        </w:rPr>
        <w:t xml:space="preserve"> from 1st January to 31st December</w:t>
      </w:r>
      <w:r w:rsidRPr="00635E0B">
        <w:rPr>
          <w:rFonts w:ascii="Verdana" w:hAnsi="Verdana" w:cs="Arial"/>
          <w:bCs/>
          <w:color w:val="183850" w:themeColor="text1"/>
          <w:sz w:val="20"/>
          <w:szCs w:val="20"/>
        </w:rPr>
        <w:t xml:space="preserve"> 2016. All PRI signatories </w:t>
      </w:r>
      <w:r w:rsidRPr="00635E0B">
        <w:rPr>
          <w:rFonts w:ascii="Verdana" w:hAnsi="Verdana" w:cs="Arial"/>
          <w:bCs/>
          <w:color w:val="183850" w:themeColor="text1"/>
          <w:sz w:val="20"/>
          <w:szCs w:val="20"/>
        </w:rPr>
        <w:t xml:space="preserve">must </w:t>
      </w:r>
      <w:r w:rsidRPr="00635E0B">
        <w:rPr>
          <w:rFonts w:ascii="Verdana" w:hAnsi="Verdana" w:cs="Arial"/>
          <w:bCs/>
          <w:color w:val="183850" w:themeColor="text1"/>
          <w:sz w:val="20"/>
          <w:szCs w:val="20"/>
        </w:rPr>
        <w:t xml:space="preserve">participate in </w:t>
      </w:r>
      <w:r w:rsidRPr="00635E0B">
        <w:rPr>
          <w:rFonts w:ascii="Verdana" w:hAnsi="Verdana" w:cs="Arial"/>
          <w:bCs/>
          <w:color w:val="183850" w:themeColor="text1"/>
          <w:sz w:val="20"/>
          <w:szCs w:val="20"/>
        </w:rPr>
        <w:t>a</w:t>
      </w:r>
      <w:r w:rsidRPr="00635E0B">
        <w:rPr>
          <w:rFonts w:ascii="Verdana" w:hAnsi="Verdana" w:cs="Arial"/>
          <w:bCs/>
          <w:color w:val="183850" w:themeColor="text1"/>
          <w:sz w:val="20"/>
          <w:szCs w:val="20"/>
        </w:rPr>
        <w:t xml:space="preserve"> detailed assessment process every year</w:t>
      </w:r>
      <w:r w:rsidRPr="00635E0B">
        <w:rPr>
          <w:rFonts w:ascii="Verdana" w:hAnsi="Verdana" w:cs="Arial"/>
          <w:bCs/>
          <w:color w:val="183850" w:themeColor="text1"/>
          <w:sz w:val="20"/>
          <w:szCs w:val="20"/>
        </w:rPr>
        <w:t xml:space="preserve"> which involves </w:t>
      </w:r>
      <w:r w:rsidRPr="00635E0B">
        <w:rPr>
          <w:rFonts w:ascii="Verdana" w:hAnsi="Verdana" w:cs="Arial"/>
          <w:bCs/>
          <w:color w:val="183850" w:themeColor="text1"/>
          <w:sz w:val="20"/>
          <w:szCs w:val="20"/>
        </w:rPr>
        <w:t xml:space="preserve">responding to </w:t>
      </w:r>
      <w:r w:rsidRPr="00635E0B">
        <w:rPr>
          <w:rFonts w:ascii="Verdana" w:hAnsi="Verdana" w:cs="Arial"/>
          <w:bCs/>
          <w:color w:val="183850" w:themeColor="text1"/>
          <w:sz w:val="20"/>
          <w:szCs w:val="20"/>
        </w:rPr>
        <w:t xml:space="preserve">detailed </w:t>
      </w:r>
      <w:r w:rsidRPr="00635E0B">
        <w:rPr>
          <w:rFonts w:ascii="Verdana" w:hAnsi="Verdana" w:cs="Arial"/>
          <w:bCs/>
          <w:color w:val="183850" w:themeColor="text1"/>
          <w:sz w:val="20"/>
          <w:szCs w:val="20"/>
        </w:rPr>
        <w:t>indicators designed to cap</w:t>
      </w:r>
      <w:r w:rsidRPr="00635E0B">
        <w:rPr>
          <w:rFonts w:ascii="Verdana" w:hAnsi="Verdana" w:cs="Arial"/>
          <w:bCs/>
          <w:color w:val="183850" w:themeColor="text1"/>
          <w:sz w:val="20"/>
          <w:szCs w:val="20"/>
        </w:rPr>
        <w:t xml:space="preserve">ture </w:t>
      </w:r>
      <w:r w:rsidRPr="00635E0B">
        <w:rPr>
          <w:rFonts w:ascii="Verdana" w:hAnsi="Verdana" w:cs="Arial"/>
          <w:bCs/>
          <w:color w:val="183850" w:themeColor="text1"/>
          <w:sz w:val="20"/>
          <w:szCs w:val="20"/>
        </w:rPr>
        <w:t>overall</w:t>
      </w:r>
      <w:r w:rsidRPr="00635E0B">
        <w:rPr>
          <w:rFonts w:ascii="Verdana" w:hAnsi="Verdana" w:cs="Arial"/>
          <w:bCs/>
          <w:color w:val="183850" w:themeColor="text1"/>
          <w:sz w:val="20"/>
          <w:szCs w:val="20"/>
        </w:rPr>
        <w:t xml:space="preserve"> approach</w:t>
      </w:r>
      <w:r w:rsidRPr="00635E0B">
        <w:rPr>
          <w:rFonts w:ascii="Verdana" w:hAnsi="Verdana" w:cs="Arial"/>
          <w:bCs/>
          <w:color w:val="183850" w:themeColor="text1"/>
          <w:sz w:val="20"/>
          <w:szCs w:val="20"/>
        </w:rPr>
        <w:t>/arrangements</w:t>
      </w:r>
      <w:r w:rsidRPr="00635E0B">
        <w:rPr>
          <w:rFonts w:ascii="Verdana" w:hAnsi="Verdana" w:cs="Arial"/>
          <w:bCs/>
          <w:color w:val="183850" w:themeColor="text1"/>
          <w:sz w:val="20"/>
          <w:szCs w:val="20"/>
        </w:rPr>
        <w:t xml:space="preserve"> and specific efforts</w:t>
      </w:r>
      <w:r w:rsidRPr="00635E0B">
        <w:rPr>
          <w:rFonts w:ascii="Verdana" w:hAnsi="Verdana" w:cs="Arial"/>
          <w:bCs/>
          <w:color w:val="183850" w:themeColor="text1"/>
          <w:sz w:val="20"/>
          <w:szCs w:val="20"/>
        </w:rPr>
        <w:t>/</w:t>
      </w:r>
      <w:r w:rsidRPr="00635E0B">
        <w:rPr>
          <w:rFonts w:ascii="Verdana" w:hAnsi="Verdana" w:cs="Arial"/>
          <w:bCs/>
          <w:color w:val="183850" w:themeColor="text1"/>
          <w:sz w:val="20"/>
          <w:szCs w:val="20"/>
        </w:rPr>
        <w:t xml:space="preserve">activities </w:t>
      </w:r>
      <w:r w:rsidRPr="00635E0B">
        <w:rPr>
          <w:rFonts w:ascii="Verdana" w:hAnsi="Verdana" w:cs="Arial"/>
          <w:bCs/>
          <w:color w:val="183850" w:themeColor="text1"/>
          <w:sz w:val="20"/>
          <w:szCs w:val="20"/>
        </w:rPr>
        <w:t>over</w:t>
      </w:r>
      <w:r w:rsidRPr="00635E0B">
        <w:rPr>
          <w:rFonts w:ascii="Verdana" w:hAnsi="Verdana" w:cs="Arial"/>
          <w:bCs/>
          <w:color w:val="183850" w:themeColor="text1"/>
          <w:sz w:val="20"/>
          <w:szCs w:val="20"/>
        </w:rPr>
        <w:t xml:space="preserve"> the previous 12 months. </w:t>
      </w:r>
    </w:p>
    <w:p w:rsidR="00283080" w:rsidRPr="00635E0B" w:rsidP="00635E0B">
      <w:pPr>
        <w:spacing w:after="0"/>
        <w:jc w:val="both"/>
        <w:rPr>
          <w:rFonts w:ascii="Verdana" w:hAnsi="Verdana" w:cs="Arial"/>
          <w:bCs/>
          <w:color w:val="183850" w:themeColor="text1"/>
          <w:sz w:val="20"/>
          <w:szCs w:val="20"/>
        </w:rPr>
      </w:pPr>
    </w:p>
    <w:p w:rsidR="005406D2" w:rsidRPr="00635E0B" w:rsidP="00635E0B">
      <w:pPr>
        <w:spacing w:after="0"/>
        <w:jc w:val="both"/>
        <w:rPr>
          <w:rFonts w:ascii="Verdana" w:hAnsi="Verdana" w:cs="Arial"/>
          <w:bCs/>
          <w:color w:val="183850" w:themeColor="text1"/>
          <w:sz w:val="20"/>
          <w:szCs w:val="20"/>
        </w:rPr>
      </w:pPr>
      <w:r w:rsidRPr="00635E0B">
        <w:rPr>
          <w:rFonts w:ascii="Verdana" w:hAnsi="Verdana" w:cs="Arial"/>
          <w:bCs/>
          <w:color w:val="183850" w:themeColor="text1"/>
          <w:sz w:val="20"/>
          <w:szCs w:val="20"/>
        </w:rPr>
        <w:t xml:space="preserve">The </w:t>
      </w:r>
      <w:r w:rsidRPr="00635E0B">
        <w:rPr>
          <w:rFonts w:ascii="Verdana" w:hAnsi="Verdana" w:cs="Arial"/>
          <w:bCs/>
          <w:color w:val="183850" w:themeColor="text1"/>
          <w:sz w:val="20"/>
          <w:szCs w:val="20"/>
        </w:rPr>
        <w:t xml:space="preserve">PRI Reporting Framework for 2018 </w:t>
      </w:r>
      <w:r w:rsidRPr="00635E0B">
        <w:rPr>
          <w:rFonts w:ascii="Verdana" w:hAnsi="Verdana" w:cs="Arial"/>
          <w:bCs/>
          <w:color w:val="183850" w:themeColor="text1"/>
          <w:sz w:val="20"/>
          <w:szCs w:val="20"/>
        </w:rPr>
        <w:t>opened</w:t>
      </w:r>
      <w:r w:rsidRPr="00635E0B">
        <w:rPr>
          <w:rFonts w:ascii="Verdana" w:hAnsi="Verdana" w:cs="Arial"/>
          <w:bCs/>
          <w:color w:val="183850" w:themeColor="text1"/>
          <w:sz w:val="20"/>
          <w:szCs w:val="20"/>
        </w:rPr>
        <w:t xml:space="preserve"> on 4th</w:t>
      </w:r>
      <w:r w:rsidRPr="00635E0B">
        <w:rPr>
          <w:rFonts w:ascii="Verdana" w:hAnsi="Verdana" w:cs="Arial"/>
          <w:bCs/>
          <w:color w:val="183850" w:themeColor="text1"/>
          <w:sz w:val="20"/>
          <w:szCs w:val="20"/>
        </w:rPr>
        <w:t xml:space="preserve"> January 2018</w:t>
      </w:r>
      <w:r w:rsidRPr="00635E0B">
        <w:rPr>
          <w:rFonts w:ascii="Verdana" w:hAnsi="Verdana" w:cs="Arial"/>
          <w:bCs/>
          <w:color w:val="183850" w:themeColor="text1"/>
          <w:sz w:val="20"/>
          <w:szCs w:val="20"/>
        </w:rPr>
        <w:t>. T</w:t>
      </w:r>
      <w:r w:rsidRPr="00635E0B">
        <w:rPr>
          <w:rFonts w:ascii="Verdana" w:hAnsi="Verdana" w:cs="Arial"/>
          <w:bCs/>
          <w:color w:val="183850" w:themeColor="text1"/>
          <w:sz w:val="20"/>
          <w:szCs w:val="20"/>
        </w:rPr>
        <w:t xml:space="preserve">he final deadline for submitting responses online is 3rd April 2018.  </w:t>
      </w:r>
      <w:r w:rsidRPr="00635E0B">
        <w:rPr>
          <w:rFonts w:ascii="Verdana" w:hAnsi="Verdana" w:cs="Arial"/>
          <w:bCs/>
          <w:color w:val="183850" w:themeColor="text1"/>
          <w:sz w:val="20"/>
          <w:szCs w:val="20"/>
        </w:rPr>
        <w:t xml:space="preserve">LPP I will be drafting a </w:t>
      </w:r>
      <w:r w:rsidRPr="00635E0B">
        <w:rPr>
          <w:rFonts w:ascii="Verdana" w:hAnsi="Verdana" w:cs="Arial"/>
          <w:bCs/>
          <w:color w:val="183850" w:themeColor="text1"/>
          <w:sz w:val="20"/>
          <w:szCs w:val="20"/>
        </w:rPr>
        <w:t>comprehensive return for LCPF for the period 1st January to 31st December 2017 which will be reviewed by</w:t>
      </w:r>
      <w:r w:rsidRPr="00635E0B">
        <w:rPr>
          <w:rFonts w:ascii="Verdana" w:hAnsi="Verdana" w:cs="Arial"/>
          <w:bCs/>
          <w:color w:val="183850" w:themeColor="text1"/>
          <w:sz w:val="20"/>
          <w:szCs w:val="20"/>
        </w:rPr>
        <w:t xml:space="preserve"> the Head of Fund </w:t>
      </w:r>
      <w:r w:rsidRPr="00635E0B">
        <w:rPr>
          <w:rFonts w:ascii="Verdana" w:hAnsi="Verdana" w:cs="Arial"/>
          <w:bCs/>
          <w:color w:val="183850" w:themeColor="text1"/>
          <w:sz w:val="20"/>
          <w:szCs w:val="20"/>
        </w:rPr>
        <w:t>ahead of the submission date. A</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full copy of the submission will be shared with the Committee at its next meeting. </w:t>
      </w:r>
    </w:p>
    <w:p w:rsidR="005406D2" w:rsidRPr="00635E0B" w:rsidP="00635E0B">
      <w:pPr>
        <w:spacing w:after="0"/>
        <w:jc w:val="both"/>
        <w:rPr>
          <w:rFonts w:ascii="Verdana" w:hAnsi="Verdana" w:cs="Arial"/>
          <w:bCs/>
          <w:color w:val="183850" w:themeColor="text1"/>
          <w:sz w:val="20"/>
          <w:szCs w:val="20"/>
        </w:rPr>
      </w:pPr>
    </w:p>
    <w:p w:rsidR="00A76259" w:rsidRPr="00635E0B" w:rsidP="00635E0B">
      <w:pPr>
        <w:spacing w:after="0"/>
        <w:jc w:val="both"/>
        <w:rPr>
          <w:rFonts w:ascii="Verdana" w:hAnsi="Verdana" w:cs="Arial"/>
          <w:bCs/>
          <w:color w:val="183850" w:themeColor="text1"/>
          <w:sz w:val="20"/>
          <w:szCs w:val="20"/>
        </w:rPr>
      </w:pPr>
      <w:r w:rsidRPr="00635E0B">
        <w:rPr>
          <w:rFonts w:ascii="Verdana" w:hAnsi="Verdana" w:cs="Arial"/>
          <w:bCs/>
          <w:color w:val="183850" w:themeColor="text1"/>
          <w:sz w:val="20"/>
          <w:szCs w:val="20"/>
        </w:rPr>
        <w:t>LPP has been advi</w:t>
      </w:r>
      <w:r w:rsidRPr="00635E0B">
        <w:rPr>
          <w:rFonts w:ascii="Verdana" w:hAnsi="Verdana" w:cs="Arial"/>
          <w:bCs/>
          <w:color w:val="183850" w:themeColor="text1"/>
          <w:sz w:val="20"/>
          <w:szCs w:val="20"/>
        </w:rPr>
        <w:t xml:space="preserve">sed that </w:t>
      </w:r>
      <w:r w:rsidRPr="00635E0B">
        <w:rPr>
          <w:rFonts w:ascii="Verdana" w:hAnsi="Verdana" w:cs="Arial"/>
          <w:bCs/>
          <w:color w:val="183850" w:themeColor="text1"/>
          <w:sz w:val="20"/>
          <w:szCs w:val="20"/>
        </w:rPr>
        <w:t xml:space="preserve">the </w:t>
      </w:r>
      <w:r w:rsidRPr="00635E0B">
        <w:rPr>
          <w:rFonts w:ascii="Verdana" w:hAnsi="Verdana" w:cs="Arial"/>
          <w:bCs/>
          <w:color w:val="183850" w:themeColor="text1"/>
          <w:sz w:val="20"/>
          <w:szCs w:val="20"/>
        </w:rPr>
        <w:t xml:space="preserve">PRI </w:t>
      </w:r>
      <w:r w:rsidRPr="00635E0B">
        <w:rPr>
          <w:rFonts w:ascii="Verdana" w:hAnsi="Verdana" w:cs="Arial"/>
          <w:bCs/>
          <w:color w:val="183850" w:themeColor="text1"/>
          <w:sz w:val="20"/>
          <w:szCs w:val="20"/>
        </w:rPr>
        <w:t>are</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presently </w:t>
      </w:r>
      <w:r w:rsidRPr="00635E0B">
        <w:rPr>
          <w:rFonts w:ascii="Verdana" w:hAnsi="Verdana" w:cs="Arial"/>
          <w:bCs/>
          <w:color w:val="183850" w:themeColor="text1"/>
          <w:sz w:val="20"/>
          <w:szCs w:val="20"/>
        </w:rPr>
        <w:t xml:space="preserve">reflecting on the position of LGPS Pools as prospective new signatories to the </w:t>
      </w:r>
      <w:r w:rsidRPr="00635E0B">
        <w:rPr>
          <w:rFonts w:ascii="Verdana" w:hAnsi="Verdana" w:cs="Arial"/>
          <w:bCs/>
          <w:color w:val="183850" w:themeColor="text1"/>
          <w:sz w:val="20"/>
          <w:szCs w:val="20"/>
        </w:rPr>
        <w:t xml:space="preserve">PRI </w:t>
      </w:r>
      <w:r w:rsidRPr="00635E0B">
        <w:rPr>
          <w:rFonts w:ascii="Verdana" w:hAnsi="Verdana" w:cs="Arial"/>
          <w:bCs/>
          <w:color w:val="183850" w:themeColor="text1"/>
          <w:sz w:val="20"/>
          <w:szCs w:val="20"/>
        </w:rPr>
        <w:t xml:space="preserve">Principles and </w:t>
      </w:r>
      <w:r w:rsidRPr="00635E0B">
        <w:rPr>
          <w:rFonts w:ascii="Verdana" w:hAnsi="Verdana" w:cs="Arial"/>
          <w:bCs/>
          <w:color w:val="183850" w:themeColor="text1"/>
          <w:sz w:val="20"/>
          <w:szCs w:val="20"/>
        </w:rPr>
        <w:t xml:space="preserve">are </w:t>
      </w:r>
      <w:r w:rsidRPr="00635E0B">
        <w:rPr>
          <w:rFonts w:ascii="Verdana" w:hAnsi="Verdana" w:cs="Arial"/>
          <w:bCs/>
          <w:color w:val="183850" w:themeColor="text1"/>
          <w:sz w:val="20"/>
          <w:szCs w:val="20"/>
        </w:rPr>
        <w:t xml:space="preserve">considering options for </w:t>
      </w:r>
      <w:r w:rsidRPr="00635E0B">
        <w:rPr>
          <w:rFonts w:ascii="Verdana" w:hAnsi="Verdana" w:cs="Arial"/>
          <w:bCs/>
          <w:color w:val="183850" w:themeColor="text1"/>
          <w:sz w:val="20"/>
          <w:szCs w:val="20"/>
        </w:rPr>
        <w:t xml:space="preserve">encouraging </w:t>
      </w:r>
      <w:r w:rsidRPr="00635E0B">
        <w:rPr>
          <w:rFonts w:ascii="Verdana" w:hAnsi="Verdana" w:cs="Arial"/>
          <w:bCs/>
          <w:color w:val="183850" w:themeColor="text1"/>
          <w:sz w:val="20"/>
          <w:szCs w:val="20"/>
        </w:rPr>
        <w:t xml:space="preserve">their </w:t>
      </w:r>
      <w:r w:rsidRPr="00635E0B">
        <w:rPr>
          <w:rFonts w:ascii="Verdana" w:hAnsi="Verdana" w:cs="Arial"/>
          <w:bCs/>
          <w:color w:val="183850" w:themeColor="text1"/>
          <w:sz w:val="20"/>
          <w:szCs w:val="20"/>
        </w:rPr>
        <w:t xml:space="preserve">participation. </w:t>
      </w:r>
      <w:r w:rsidRPr="00635E0B">
        <w:rPr>
          <w:rFonts w:ascii="Verdana" w:hAnsi="Verdana" w:cs="Arial"/>
          <w:bCs/>
          <w:color w:val="183850" w:themeColor="text1"/>
          <w:sz w:val="20"/>
          <w:szCs w:val="20"/>
        </w:rPr>
        <w:t xml:space="preserve">Pools are recognised to </w:t>
      </w:r>
      <w:r w:rsidRPr="00635E0B">
        <w:rPr>
          <w:rFonts w:ascii="Verdana" w:hAnsi="Verdana" w:cs="Arial"/>
          <w:bCs/>
          <w:color w:val="183850" w:themeColor="text1"/>
          <w:sz w:val="20"/>
          <w:szCs w:val="20"/>
        </w:rPr>
        <w:t xml:space="preserve">have </w:t>
      </w:r>
      <w:r w:rsidRPr="00635E0B">
        <w:rPr>
          <w:rFonts w:ascii="Verdana" w:hAnsi="Verdana" w:cs="Arial"/>
          <w:bCs/>
          <w:color w:val="183850" w:themeColor="text1"/>
          <w:sz w:val="20"/>
          <w:szCs w:val="20"/>
        </w:rPr>
        <w:t xml:space="preserve">significant potential </w:t>
      </w:r>
      <w:r w:rsidRPr="00635E0B">
        <w:rPr>
          <w:rFonts w:ascii="Verdana" w:hAnsi="Verdana" w:cs="Arial"/>
          <w:bCs/>
          <w:color w:val="183850" w:themeColor="text1"/>
          <w:sz w:val="20"/>
          <w:szCs w:val="20"/>
        </w:rPr>
        <w:t>for</w:t>
      </w:r>
      <w:r w:rsidRPr="00635E0B">
        <w:rPr>
          <w:rFonts w:ascii="Verdana" w:hAnsi="Verdana" w:cs="Arial"/>
          <w:bCs/>
          <w:color w:val="183850" w:themeColor="text1"/>
          <w:sz w:val="20"/>
          <w:szCs w:val="20"/>
        </w:rPr>
        <w:t xml:space="preserve"> materially increas</w:t>
      </w:r>
      <w:r w:rsidRPr="00635E0B">
        <w:rPr>
          <w:rFonts w:ascii="Verdana" w:hAnsi="Verdana" w:cs="Arial"/>
          <w:bCs/>
          <w:color w:val="183850" w:themeColor="text1"/>
          <w:sz w:val="20"/>
          <w:szCs w:val="20"/>
        </w:rPr>
        <w:t>ing</w:t>
      </w:r>
      <w:r w:rsidRPr="00635E0B">
        <w:rPr>
          <w:rFonts w:ascii="Verdana" w:hAnsi="Verdana" w:cs="Arial"/>
          <w:bCs/>
          <w:color w:val="183850" w:themeColor="text1"/>
          <w:sz w:val="20"/>
          <w:szCs w:val="20"/>
        </w:rPr>
        <w:t xml:space="preserve"> the value of assets </w:t>
      </w:r>
      <w:r w:rsidRPr="00635E0B">
        <w:rPr>
          <w:rFonts w:ascii="Verdana" w:hAnsi="Verdana" w:cs="Arial"/>
          <w:bCs/>
          <w:color w:val="183850" w:themeColor="text1"/>
          <w:sz w:val="20"/>
          <w:szCs w:val="20"/>
        </w:rPr>
        <w:t xml:space="preserve">being </w:t>
      </w:r>
      <w:r w:rsidRPr="00635E0B">
        <w:rPr>
          <w:rFonts w:ascii="Verdana" w:hAnsi="Verdana" w:cs="Arial"/>
          <w:bCs/>
          <w:color w:val="183850" w:themeColor="text1"/>
          <w:sz w:val="20"/>
          <w:szCs w:val="20"/>
        </w:rPr>
        <w:t xml:space="preserve">managed in accordance with the </w:t>
      </w:r>
      <w:r w:rsidRPr="00635E0B">
        <w:rPr>
          <w:rFonts w:ascii="Verdana" w:hAnsi="Verdana" w:cs="Arial"/>
          <w:bCs/>
          <w:color w:val="183850" w:themeColor="text1"/>
          <w:sz w:val="20"/>
          <w:szCs w:val="20"/>
        </w:rPr>
        <w:t xml:space="preserve">RI </w:t>
      </w:r>
      <w:r w:rsidRPr="00635E0B">
        <w:rPr>
          <w:rFonts w:ascii="Verdana" w:hAnsi="Verdana" w:cs="Arial"/>
          <w:bCs/>
          <w:color w:val="183850" w:themeColor="text1"/>
          <w:sz w:val="20"/>
          <w:szCs w:val="20"/>
        </w:rPr>
        <w:t>principles</w:t>
      </w:r>
      <w:r w:rsidRPr="00635E0B">
        <w:rPr>
          <w:rFonts w:ascii="Verdana" w:hAnsi="Verdana" w:cs="Arial"/>
          <w:bCs/>
          <w:color w:val="183850" w:themeColor="text1"/>
          <w:sz w:val="20"/>
          <w:szCs w:val="20"/>
        </w:rPr>
        <w:t xml:space="preserve"> and for bringing benefits of scale, resourcing and expertise</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A</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practical </w:t>
      </w:r>
      <w:r w:rsidRPr="00635E0B">
        <w:rPr>
          <w:rFonts w:ascii="Verdana" w:hAnsi="Verdana" w:cs="Arial"/>
          <w:bCs/>
          <w:color w:val="183850" w:themeColor="text1"/>
          <w:sz w:val="20"/>
          <w:szCs w:val="20"/>
        </w:rPr>
        <w:t xml:space="preserve">challenge </w:t>
      </w:r>
      <w:r w:rsidRPr="00635E0B">
        <w:rPr>
          <w:rFonts w:ascii="Verdana" w:hAnsi="Verdana" w:cs="Arial"/>
          <w:bCs/>
          <w:color w:val="183850" w:themeColor="text1"/>
          <w:sz w:val="20"/>
          <w:szCs w:val="20"/>
        </w:rPr>
        <w:t>to be</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overcome is </w:t>
      </w:r>
      <w:r w:rsidRPr="00635E0B">
        <w:rPr>
          <w:rFonts w:ascii="Verdana" w:hAnsi="Verdana" w:cs="Arial"/>
          <w:bCs/>
          <w:color w:val="183850" w:themeColor="text1"/>
          <w:sz w:val="20"/>
          <w:szCs w:val="20"/>
        </w:rPr>
        <w:t>the</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implied </w:t>
      </w:r>
      <w:r w:rsidRPr="00635E0B">
        <w:rPr>
          <w:rFonts w:ascii="Verdana" w:hAnsi="Verdana" w:cs="Arial"/>
          <w:bCs/>
          <w:color w:val="183850" w:themeColor="text1"/>
          <w:sz w:val="20"/>
          <w:szCs w:val="20"/>
        </w:rPr>
        <w:t>dupli</w:t>
      </w:r>
      <w:r w:rsidRPr="00635E0B">
        <w:rPr>
          <w:rFonts w:ascii="Verdana" w:hAnsi="Verdana" w:cs="Arial"/>
          <w:bCs/>
          <w:color w:val="183850" w:themeColor="text1"/>
          <w:sz w:val="20"/>
          <w:szCs w:val="20"/>
        </w:rPr>
        <w:t xml:space="preserve">cation within reporting if </w:t>
      </w:r>
      <w:r w:rsidRPr="00635E0B">
        <w:rPr>
          <w:rFonts w:ascii="Verdana" w:hAnsi="Verdana" w:cs="Arial"/>
          <w:bCs/>
          <w:color w:val="183850" w:themeColor="text1"/>
          <w:sz w:val="20"/>
          <w:szCs w:val="20"/>
        </w:rPr>
        <w:t>underlying funds</w:t>
      </w:r>
      <w:r w:rsidRPr="00635E0B">
        <w:rPr>
          <w:rFonts w:ascii="Verdana" w:hAnsi="Verdana" w:cs="Arial"/>
          <w:bCs/>
          <w:color w:val="183850" w:themeColor="text1"/>
          <w:sz w:val="20"/>
          <w:szCs w:val="20"/>
        </w:rPr>
        <w:t xml:space="preserve"> and </w:t>
      </w:r>
      <w:r w:rsidRPr="00635E0B">
        <w:rPr>
          <w:rFonts w:ascii="Verdana" w:hAnsi="Verdana" w:cs="Arial"/>
          <w:bCs/>
          <w:color w:val="183850" w:themeColor="text1"/>
          <w:sz w:val="20"/>
          <w:szCs w:val="20"/>
        </w:rPr>
        <w:t>LGPS Pool</w:t>
      </w:r>
      <w:r w:rsidRPr="00635E0B">
        <w:rPr>
          <w:rFonts w:ascii="Verdana" w:hAnsi="Verdana" w:cs="Arial"/>
          <w:bCs/>
          <w:color w:val="183850" w:themeColor="text1"/>
          <w:sz w:val="20"/>
          <w:szCs w:val="20"/>
        </w:rPr>
        <w:t>s</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are</w:t>
      </w:r>
      <w:r w:rsidRPr="00635E0B">
        <w:rPr>
          <w:rFonts w:ascii="Verdana" w:hAnsi="Verdana" w:cs="Arial"/>
          <w:bCs/>
          <w:color w:val="183850" w:themeColor="text1"/>
          <w:sz w:val="20"/>
          <w:szCs w:val="20"/>
        </w:rPr>
        <w:t xml:space="preserve"> </w:t>
      </w:r>
      <w:r w:rsidRPr="00635E0B">
        <w:rPr>
          <w:rFonts w:ascii="Verdana" w:hAnsi="Verdana" w:cs="Arial"/>
          <w:bCs/>
          <w:color w:val="183850" w:themeColor="text1"/>
          <w:sz w:val="20"/>
          <w:szCs w:val="20"/>
        </w:rPr>
        <w:t xml:space="preserve">both </w:t>
      </w:r>
      <w:r w:rsidRPr="00635E0B">
        <w:rPr>
          <w:rFonts w:ascii="Verdana" w:hAnsi="Verdana" w:cs="Arial"/>
          <w:bCs/>
          <w:color w:val="183850" w:themeColor="text1"/>
          <w:sz w:val="20"/>
          <w:szCs w:val="20"/>
        </w:rPr>
        <w:t>signatories</w:t>
      </w:r>
      <w:r w:rsidRPr="00635E0B">
        <w:rPr>
          <w:rFonts w:ascii="Verdana" w:hAnsi="Verdana" w:cs="Arial"/>
          <w:bCs/>
          <w:color w:val="183850" w:themeColor="text1"/>
          <w:sz w:val="20"/>
          <w:szCs w:val="20"/>
        </w:rPr>
        <w:t xml:space="preserve"> of the PRI simultaneously</w:t>
      </w:r>
      <w:r w:rsidRPr="00635E0B">
        <w:rPr>
          <w:rFonts w:ascii="Verdana" w:hAnsi="Verdana" w:cs="Arial"/>
          <w:bCs/>
          <w:color w:val="183850" w:themeColor="text1"/>
          <w:sz w:val="20"/>
          <w:szCs w:val="20"/>
        </w:rPr>
        <w:t xml:space="preserve">. This is one of </w:t>
      </w:r>
      <w:r w:rsidRPr="00635E0B">
        <w:rPr>
          <w:rFonts w:ascii="Verdana" w:hAnsi="Verdana" w:cs="Arial"/>
          <w:bCs/>
          <w:color w:val="183850" w:themeColor="text1"/>
          <w:sz w:val="20"/>
          <w:szCs w:val="20"/>
        </w:rPr>
        <w:t>a few</w:t>
      </w:r>
      <w:r w:rsidRPr="00635E0B">
        <w:rPr>
          <w:rFonts w:ascii="Verdana" w:hAnsi="Verdana" w:cs="Arial"/>
          <w:bCs/>
          <w:color w:val="183850" w:themeColor="text1"/>
          <w:sz w:val="20"/>
          <w:szCs w:val="20"/>
        </w:rPr>
        <w:t xml:space="preserve"> issues to be considered </w:t>
      </w:r>
      <w:r w:rsidRPr="00635E0B">
        <w:rPr>
          <w:rFonts w:ascii="Verdana" w:hAnsi="Verdana" w:cs="Arial"/>
          <w:bCs/>
          <w:color w:val="183850" w:themeColor="text1"/>
          <w:sz w:val="20"/>
          <w:szCs w:val="20"/>
        </w:rPr>
        <w:t xml:space="preserve">and solved </w:t>
      </w:r>
      <w:r w:rsidRPr="00635E0B">
        <w:rPr>
          <w:rFonts w:ascii="Verdana" w:hAnsi="Verdana" w:cs="Arial"/>
          <w:bCs/>
          <w:color w:val="183850" w:themeColor="text1"/>
          <w:sz w:val="20"/>
          <w:szCs w:val="20"/>
        </w:rPr>
        <w:t xml:space="preserve">by the PRI in agreeing a best approach </w:t>
      </w:r>
      <w:r w:rsidRPr="00635E0B">
        <w:rPr>
          <w:rFonts w:ascii="Verdana" w:hAnsi="Verdana" w:cs="Arial"/>
          <w:bCs/>
          <w:color w:val="183850" w:themeColor="text1"/>
          <w:sz w:val="20"/>
          <w:szCs w:val="20"/>
        </w:rPr>
        <w:t>for</w:t>
      </w:r>
      <w:r w:rsidRPr="00635E0B">
        <w:rPr>
          <w:rFonts w:ascii="Verdana" w:hAnsi="Verdana" w:cs="Arial"/>
          <w:bCs/>
          <w:color w:val="183850" w:themeColor="text1"/>
          <w:sz w:val="20"/>
          <w:szCs w:val="20"/>
        </w:rPr>
        <w:t xml:space="preserve"> accommodating and encouraging signatory status for LGPS pools</w:t>
      </w:r>
      <w:r w:rsidRPr="00635E0B">
        <w:rPr>
          <w:rFonts w:ascii="Verdana" w:hAnsi="Verdana" w:cs="Arial"/>
          <w:bCs/>
          <w:color w:val="183850" w:themeColor="text1"/>
          <w:sz w:val="20"/>
          <w:szCs w:val="20"/>
        </w:rPr>
        <w:t xml:space="preserve"> going forward</w:t>
      </w:r>
      <w:r w:rsidRPr="00635E0B">
        <w:rPr>
          <w:rFonts w:ascii="Verdana" w:hAnsi="Verdana" w:cs="Arial"/>
          <w:bCs/>
          <w:color w:val="183850" w:themeColor="text1"/>
          <w:sz w:val="20"/>
          <w:szCs w:val="20"/>
        </w:rPr>
        <w:t>.</w:t>
      </w:r>
    </w:p>
    <w:p w:rsidR="00A76259" w:rsidRPr="00635E0B" w:rsidP="00635E0B">
      <w:pPr>
        <w:spacing w:after="0"/>
        <w:jc w:val="both"/>
        <w:rPr>
          <w:rFonts w:ascii="Verdana" w:hAnsi="Verdana" w:cs="Arial"/>
          <w:bCs/>
          <w:color w:val="183850" w:themeColor="text1"/>
          <w:sz w:val="20"/>
          <w:szCs w:val="20"/>
        </w:rPr>
      </w:pPr>
    </w:p>
    <w:p w:rsidR="00B96CB9" w:rsidRPr="00635E0B" w:rsidP="00635E0B">
      <w:pPr>
        <w:spacing w:after="0"/>
        <w:jc w:val="both"/>
        <w:rPr>
          <w:rFonts w:ascii="Verdana" w:hAnsi="Verdana" w:cs="Arial"/>
          <w:bCs/>
          <w:color w:val="183850" w:themeColor="text1"/>
          <w:sz w:val="20"/>
          <w:szCs w:val="20"/>
        </w:rPr>
      </w:pPr>
    </w:p>
    <w:sectPr w:rsidSect="00E06AD2">
      <w:footerReference w:type="default" r:id="rId7"/>
      <w:headerReference w:type="first" r:id="rId8"/>
      <w:pgSz w:w="11906" w:h="16838"/>
      <w:pgMar w:top="1135" w:right="1440" w:bottom="993"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w:altName w:val="Book Antiqu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3B97o00">
    <w:panose1 w:val="00000000000000000000"/>
    <w:charset w:val="00"/>
    <w:family w:val="auto"/>
    <w:notTrueType/>
    <w:pitch w:val="default"/>
    <w:sig w:usb0="00000003" w:usb1="00000000" w:usb2="00000000" w:usb3="00000000" w:csb0="00000001" w:csb1="00000000"/>
  </w:font>
  <w:font w:name="TT3BA2o00">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5EA">
    <w:pPr>
      <w:pStyle w:val="Footer"/>
    </w:pPr>
  </w:p>
  <w:p w:rsidR="00BD35E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35EA">
    <w:pPr>
      <w:pStyle w:val="Header"/>
    </w:pPr>
    <w:r>
      <w:rPr>
        <w:noProof/>
        <w:lang w:eastAsia="en-GB"/>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94615</wp:posOffset>
          </wp:positionV>
          <wp:extent cx="2152650" cy="1076325"/>
          <wp:effectExtent l="0" t="0" r="0" b="9525"/>
          <wp:wrapSquare wrapText="bothSides"/>
          <wp:docPr id="5" name="Picture 5" descr="C:\Users\sarah.vanson\AppData\Local\Microsoft\Windows\Temporary Internet Files\Content.Word\LPP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368169" name="Picture 1" descr="C:\Users\sarah.vanson\AppData\Local\Microsoft\Windows\Temporary Internet Files\Content.Word\LPP JPEG.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1526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481A08"/>
    <w:multiLevelType w:val="multilevel"/>
    <w:tmpl w:val="9B60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E3A13"/>
    <w:multiLevelType w:val="multilevel"/>
    <w:tmpl w:val="38D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022A5"/>
    <w:multiLevelType w:val="hybridMultilevel"/>
    <w:tmpl w:val="3F180D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9C0026F"/>
    <w:multiLevelType w:val="hybridMultilevel"/>
    <w:tmpl w:val="FBE2CC28"/>
    <w:lvl w:ilvl="0">
      <w:start w:val="1"/>
      <w:numFmt w:val="bullet"/>
      <w:lvlText w:val=""/>
      <w:lvlJc w:val="left"/>
      <w:pPr>
        <w:ind w:left="2160" w:hanging="360"/>
      </w:pPr>
      <w:rPr>
        <w:rFonts w:ascii="Symbol" w:hAnsi="Symbol" w:hint="default"/>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
    <w:nsid w:val="1A444BBF"/>
    <w:multiLevelType w:val="hybridMultilevel"/>
    <w:tmpl w:val="6A84AB34"/>
    <w:lvl w:ilvl="0">
      <w:start w:val="1"/>
      <w:numFmt w:val="decimal"/>
      <w:pStyle w:val="treb"/>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AB707C1"/>
    <w:multiLevelType w:val="hybridMultilevel"/>
    <w:tmpl w:val="1C9CD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AE216C1"/>
    <w:multiLevelType w:val="hybridMultilevel"/>
    <w:tmpl w:val="375EA1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E4D2CDD"/>
    <w:multiLevelType w:val="hybridMultilevel"/>
    <w:tmpl w:val="CA1AD7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0884B6E"/>
    <w:multiLevelType w:val="hybridMultilevel"/>
    <w:tmpl w:val="146483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5F43190"/>
    <w:multiLevelType w:val="hybridMultilevel"/>
    <w:tmpl w:val="3834B4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6B650CD"/>
    <w:multiLevelType w:val="hybridMultilevel"/>
    <w:tmpl w:val="3C144736"/>
    <w:lvl w:ilvl="0">
      <w:start w:val="1"/>
      <w:numFmt w:val="decimal"/>
      <w:lvlText w:val="%1."/>
      <w:lvlJc w:val="left"/>
      <w:pPr>
        <w:ind w:left="720" w:hanging="360"/>
      </w:pPr>
      <w:rPr>
        <w:rFonts w:ascii="Arial" w:hAnsi="Arial"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0340154"/>
    <w:multiLevelType w:val="hybridMultilevel"/>
    <w:tmpl w:val="7D7C79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31E5458"/>
    <w:multiLevelType w:val="hybridMultilevel"/>
    <w:tmpl w:val="B5B4520E"/>
    <w:lvl w:ilvl="0">
      <w:start w:val="1"/>
      <w:numFmt w:val="decimal"/>
      <w:lvlText w:val="%1."/>
      <w:lvlJc w:val="left"/>
      <w:pPr>
        <w:ind w:left="720" w:hanging="360"/>
      </w:pPr>
      <w:rPr>
        <w:rFonts w:ascii="Arial" w:hAnsi="Arial"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6D013E"/>
    <w:multiLevelType w:val="hybridMultilevel"/>
    <w:tmpl w:val="E7E25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1411F78"/>
    <w:multiLevelType w:val="hybridMultilevel"/>
    <w:tmpl w:val="23F26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B52568C"/>
    <w:multiLevelType w:val="hybridMultilevel"/>
    <w:tmpl w:val="DE26D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63C05F1"/>
    <w:multiLevelType w:val="hybridMultilevel"/>
    <w:tmpl w:val="13060C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9D91938"/>
    <w:multiLevelType w:val="hybridMultilevel"/>
    <w:tmpl w:val="734CBE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C543E73"/>
    <w:multiLevelType w:val="hybridMultilevel"/>
    <w:tmpl w:val="1564DC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EA657B7"/>
    <w:multiLevelType w:val="hybridMultilevel"/>
    <w:tmpl w:val="7C146D6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2FB70DC"/>
    <w:multiLevelType w:val="hybridMultilevel"/>
    <w:tmpl w:val="2C76376C"/>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1">
    <w:nsid w:val="63200733"/>
    <w:multiLevelType w:val="multilevel"/>
    <w:tmpl w:val="2CAC45F4"/>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2">
    <w:nsid w:val="650E2067"/>
    <w:multiLevelType w:val="hybridMultilevel"/>
    <w:tmpl w:val="7D9438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6825945"/>
    <w:multiLevelType w:val="hybridMultilevel"/>
    <w:tmpl w:val="E80EE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82E0571"/>
    <w:multiLevelType w:val="hybridMultilevel"/>
    <w:tmpl w:val="3FB2F5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CD16673"/>
    <w:multiLevelType w:val="hybridMultilevel"/>
    <w:tmpl w:val="3F76F5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5C31127"/>
    <w:multiLevelType w:val="hybridMultilevel"/>
    <w:tmpl w:val="82928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5DD0325"/>
    <w:multiLevelType w:val="hybridMultilevel"/>
    <w:tmpl w:val="8FC64B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2"/>
  </w:num>
  <w:num w:numId="5">
    <w:abstractNumId w:val="27"/>
  </w:num>
  <w:num w:numId="6">
    <w:abstractNumId w:val="7"/>
  </w:num>
  <w:num w:numId="7">
    <w:abstractNumId w:val="9"/>
  </w:num>
  <w:num w:numId="8">
    <w:abstractNumId w:val="19"/>
  </w:num>
  <w:num w:numId="9">
    <w:abstractNumId w:val="11"/>
  </w:num>
  <w:num w:numId="10">
    <w:abstractNumId w:val="20"/>
  </w:num>
  <w:num w:numId="11">
    <w:abstractNumId w:val="13"/>
  </w:num>
  <w:num w:numId="12">
    <w:abstractNumId w:val="25"/>
  </w:num>
  <w:num w:numId="13">
    <w:abstractNumId w:val="24"/>
  </w:num>
  <w:num w:numId="14">
    <w:abstractNumId w:val="26"/>
  </w:num>
  <w:num w:numId="15">
    <w:abstractNumId w:val="21"/>
  </w:num>
  <w:num w:numId="16">
    <w:abstractNumId w:val="12"/>
  </w:num>
  <w:num w:numId="17">
    <w:abstractNumId w:val="18"/>
  </w:num>
  <w:num w:numId="18">
    <w:abstractNumId w:val="15"/>
  </w:num>
  <w:num w:numId="19">
    <w:abstractNumId w:val="0"/>
  </w:num>
  <w:num w:numId="20">
    <w:abstractNumId w:val="1"/>
  </w:num>
  <w:num w:numId="21">
    <w:abstractNumId w:val="4"/>
  </w:num>
  <w:num w:numId="22">
    <w:abstractNumId w:val="4"/>
  </w:num>
  <w:num w:numId="23">
    <w:abstractNumId w:val="4"/>
  </w:num>
  <w:num w:numId="24">
    <w:abstractNumId w:val="10"/>
  </w:num>
  <w:num w:numId="25">
    <w:abstractNumId w:val="23"/>
  </w:num>
  <w:num w:numId="26">
    <w:abstractNumId w:val="2"/>
  </w:num>
  <w:num w:numId="27">
    <w:abstractNumId w:val="8"/>
  </w:num>
  <w:num w:numId="28">
    <w:abstractNumId w:val="14"/>
  </w:num>
  <w:num w:numId="29">
    <w:abstractNumId w:val="4"/>
  </w:num>
  <w:num w:numId="30">
    <w:abstractNumId w:val="4"/>
  </w:num>
  <w:num w:numId="31">
    <w:abstractNumId w:val="6"/>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18"/>
  </w:style>
  <w:style w:type="paragraph" w:styleId="Heading1">
    <w:name w:val="heading 1"/>
    <w:basedOn w:val="Normal"/>
    <w:next w:val="Normal"/>
    <w:link w:val="Heading1Char"/>
    <w:qFormat/>
    <w:rsid w:val="009C39E5"/>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uiPriority w:val="9"/>
    <w:unhideWhenUsed/>
    <w:qFormat/>
    <w:rsid w:val="00791E35"/>
    <w:pPr>
      <w:keepNext/>
      <w:keepLines/>
      <w:spacing w:before="40" w:after="0"/>
      <w:outlineLvl w:val="3"/>
    </w:pPr>
    <w:rPr>
      <w:rFonts w:asciiTheme="majorHAnsi" w:eastAsiaTheme="majorEastAsia" w:hAnsiTheme="majorHAnsi" w:cstheme="majorBidi"/>
      <w:i/>
      <w:iCs/>
      <w:color w:val="2BADEC" w:themeColor="accent1" w:themeShade="BF"/>
    </w:rPr>
  </w:style>
  <w:style w:type="paragraph" w:styleId="Heading5">
    <w:name w:val="heading 5"/>
    <w:basedOn w:val="Normal"/>
    <w:next w:val="Normal"/>
    <w:link w:val="Heading5Char"/>
    <w:qFormat/>
    <w:rsid w:val="00CC6923"/>
    <w:pPr>
      <w:keepNext/>
      <w:widowControl w:val="0"/>
      <w:spacing w:after="0" w:line="240" w:lineRule="auto"/>
      <w:outlineLvl w:val="4"/>
    </w:pPr>
    <w:rPr>
      <w:rFonts w:ascii="CG Omega" w:eastAsia="Times New Roman" w:hAnsi="CG Omeg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7FB6"/>
    <w:pPr>
      <w:ind w:left="720"/>
      <w:contextualSpacing/>
    </w:pPr>
  </w:style>
  <w:style w:type="character" w:customStyle="1" w:styleId="Heading5Char">
    <w:name w:val="Heading 5 Char"/>
    <w:basedOn w:val="DefaultParagraphFont"/>
    <w:link w:val="Heading5"/>
    <w:rsid w:val="00CC6923"/>
    <w:rPr>
      <w:rFonts w:ascii="CG Omega" w:eastAsia="Times New Roman" w:hAnsi="CG Omega" w:cs="Times New Roman"/>
      <w:b/>
      <w:szCs w:val="20"/>
    </w:rPr>
  </w:style>
  <w:style w:type="character" w:customStyle="1" w:styleId="Fontsize">
    <w:name w:val="Font &amp; size"/>
    <w:basedOn w:val="DefaultParagraphFont"/>
    <w:rsid w:val="00CC6923"/>
    <w:rPr>
      <w:rFonts w:ascii="CG Omega" w:hAnsi="CG Omega"/>
      <w:sz w:val="22"/>
    </w:rPr>
  </w:style>
  <w:style w:type="paragraph" w:styleId="Title">
    <w:name w:val="Title"/>
    <w:basedOn w:val="Normal"/>
    <w:link w:val="TitleChar"/>
    <w:qFormat/>
    <w:rsid w:val="00A268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268E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5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E7F"/>
  </w:style>
  <w:style w:type="paragraph" w:styleId="Footer">
    <w:name w:val="footer"/>
    <w:basedOn w:val="Normal"/>
    <w:link w:val="FooterChar"/>
    <w:uiPriority w:val="99"/>
    <w:unhideWhenUsed/>
    <w:rsid w:val="0085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E7F"/>
  </w:style>
  <w:style w:type="paragraph" w:styleId="BalloonText">
    <w:name w:val="Balloon Text"/>
    <w:basedOn w:val="Normal"/>
    <w:link w:val="BalloonTextChar"/>
    <w:uiPriority w:val="99"/>
    <w:semiHidden/>
    <w:unhideWhenUsed/>
    <w:rsid w:val="00852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E7F"/>
    <w:rPr>
      <w:rFonts w:ascii="Tahoma" w:hAnsi="Tahoma" w:cs="Tahoma"/>
      <w:sz w:val="16"/>
      <w:szCs w:val="16"/>
    </w:rPr>
  </w:style>
  <w:style w:type="character" w:customStyle="1" w:styleId="subparatext">
    <w:name w:val="subparatext"/>
    <w:basedOn w:val="DefaultParagraphFont"/>
    <w:uiPriority w:val="99"/>
    <w:rsid w:val="00320885"/>
    <w:rPr>
      <w:rFonts w:cs="Times New Roman"/>
    </w:rPr>
  </w:style>
  <w:style w:type="paragraph" w:customStyle="1" w:styleId="Default">
    <w:name w:val="Default"/>
    <w:rsid w:val="00320885"/>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Heading1Char">
    <w:name w:val="Heading 1 Char"/>
    <w:basedOn w:val="DefaultParagraphFont"/>
    <w:link w:val="Heading1"/>
    <w:rsid w:val="009C39E5"/>
    <w:rPr>
      <w:rFonts w:ascii="Arial" w:eastAsia="Times New Roman" w:hAnsi="Arial" w:cs="Arial"/>
      <w:b/>
      <w:bCs/>
      <w:kern w:val="32"/>
      <w:sz w:val="32"/>
      <w:szCs w:val="32"/>
    </w:rPr>
  </w:style>
  <w:style w:type="paragraph" w:customStyle="1" w:styleId="treb">
    <w:name w:val="treb"/>
    <w:basedOn w:val="ListParagraph"/>
    <w:link w:val="trebChar"/>
    <w:qFormat/>
    <w:rsid w:val="00E92BCB"/>
    <w:pPr>
      <w:numPr>
        <w:numId w:val="1"/>
      </w:numPr>
      <w:spacing w:after="120"/>
      <w:contextualSpacing w:val="0"/>
    </w:pPr>
    <w:rPr>
      <w:rFonts w:ascii="Trebuchet MS" w:hAnsi="Trebuchet MS" w:cs="Arial"/>
      <w:b/>
      <w:bCs/>
    </w:rPr>
  </w:style>
  <w:style w:type="character" w:customStyle="1" w:styleId="ListParagraphChar">
    <w:name w:val="List Paragraph Char"/>
    <w:basedOn w:val="DefaultParagraphFont"/>
    <w:link w:val="ListParagraph"/>
    <w:uiPriority w:val="34"/>
    <w:rsid w:val="00E92BCB"/>
  </w:style>
  <w:style w:type="character" w:customStyle="1" w:styleId="trebChar">
    <w:name w:val="treb Char"/>
    <w:basedOn w:val="ListParagraphChar"/>
    <w:link w:val="treb"/>
    <w:rsid w:val="00E92BCB"/>
    <w:rPr>
      <w:rFonts w:ascii="Trebuchet MS" w:hAnsi="Trebuchet MS" w:cs="Arial"/>
      <w:b/>
      <w:bCs/>
    </w:rPr>
  </w:style>
  <w:style w:type="table" w:styleId="TableGrid">
    <w:name w:val="Table Grid"/>
    <w:basedOn w:val="TableNormal"/>
    <w:rsid w:val="0019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BA3"/>
    <w:rPr>
      <w:color w:val="FFFFFF" w:themeColor="hyperlink"/>
      <w:u w:val="single"/>
    </w:rPr>
  </w:style>
  <w:style w:type="paragraph" w:styleId="BodyText">
    <w:name w:val="Body Text"/>
    <w:basedOn w:val="Normal"/>
    <w:link w:val="BodyTextChar"/>
    <w:semiHidden/>
    <w:unhideWhenUsed/>
    <w:rsid w:val="00F71543"/>
    <w:pPr>
      <w:spacing w:after="120" w:line="240" w:lineRule="auto"/>
    </w:pPr>
    <w:rPr>
      <w:rFonts w:ascii="Palatino" w:eastAsia="Times New Roman" w:hAnsi="Palatino" w:cs="Times New Roman"/>
      <w:sz w:val="20"/>
      <w:szCs w:val="20"/>
    </w:rPr>
  </w:style>
  <w:style w:type="character" w:customStyle="1" w:styleId="BodyTextChar">
    <w:name w:val="Body Text Char"/>
    <w:basedOn w:val="DefaultParagraphFont"/>
    <w:link w:val="BodyText"/>
    <w:semiHidden/>
    <w:rsid w:val="00F71543"/>
    <w:rPr>
      <w:rFonts w:ascii="Palatino" w:eastAsia="Times New Roman" w:hAnsi="Palatino" w:cs="Times New Roman"/>
      <w:sz w:val="20"/>
      <w:szCs w:val="20"/>
    </w:rPr>
  </w:style>
  <w:style w:type="character" w:customStyle="1" w:styleId="st1">
    <w:name w:val="st1"/>
    <w:basedOn w:val="DefaultParagraphFont"/>
    <w:rsid w:val="007200A7"/>
  </w:style>
  <w:style w:type="character" w:customStyle="1" w:styleId="Heading4Char">
    <w:name w:val="Heading 4 Char"/>
    <w:basedOn w:val="DefaultParagraphFont"/>
    <w:link w:val="Heading4"/>
    <w:uiPriority w:val="9"/>
    <w:rsid w:val="00791E35"/>
    <w:rPr>
      <w:rFonts w:asciiTheme="majorHAnsi" w:eastAsiaTheme="majorEastAsia" w:hAnsiTheme="majorHAnsi" w:cstheme="majorBidi"/>
      <w:i/>
      <w:iCs/>
      <w:color w:val="2BADEC" w:themeColor="accent1" w:themeShade="BF"/>
    </w:rPr>
  </w:style>
  <w:style w:type="character" w:styleId="Emphasis">
    <w:name w:val="Emphasis"/>
    <w:basedOn w:val="DefaultParagraphFont"/>
    <w:uiPriority w:val="20"/>
    <w:qFormat/>
    <w:rsid w:val="00747B19"/>
    <w:rPr>
      <w:b/>
      <w:bCs/>
      <w:i w:val="0"/>
      <w:iCs w:val="0"/>
    </w:rPr>
  </w:style>
  <w:style w:type="character" w:styleId="FollowedHyperlink">
    <w:name w:val="FollowedHyperlink"/>
    <w:basedOn w:val="DefaultParagraphFont"/>
    <w:uiPriority w:val="99"/>
    <w:semiHidden/>
    <w:unhideWhenUsed/>
    <w:rsid w:val="00A255B5"/>
    <w:rPr>
      <w:color w:val="FFFFFF" w:themeColor="followedHyperlink"/>
      <w:u w:val="single"/>
    </w:rPr>
  </w:style>
  <w:style w:type="paragraph" w:styleId="NormalWeb">
    <w:name w:val="Normal (Web)"/>
    <w:basedOn w:val="Normal"/>
    <w:uiPriority w:val="99"/>
    <w:unhideWhenUsed/>
    <w:rsid w:val="00C53B2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LPP Corporate">
      <a:dk1>
        <a:srgbClr val="183850"/>
      </a:dk1>
      <a:lt1>
        <a:sysClr val="window" lastClr="FFFFFF"/>
      </a:lt1>
      <a:dk2>
        <a:srgbClr val="54BBAB"/>
      </a:dk2>
      <a:lt2>
        <a:srgbClr val="F0F2F2"/>
      </a:lt2>
      <a:accent1>
        <a:srgbClr val="82CFF4"/>
      </a:accent1>
      <a:accent2>
        <a:srgbClr val="1C8E9D"/>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3B53-EF88-4524-9086-9CD739C1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Castledine, Trevor</dc:creator>
  <cp:lastModifiedBy>Neville, Mike</cp:lastModifiedBy>
  <cp:revision>3</cp:revision>
  <cp:lastPrinted>2016-04-13T08:43:00Z</cp:lastPrinted>
  <dcterms:created xsi:type="dcterms:W3CDTF">2018-03-07T11:55:00Z</dcterms:created>
  <dcterms:modified xsi:type="dcterms:W3CDTF">2018-03-13T10:35:00Z</dcterms:modified>
</cp:coreProperties>
</file>